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07AB" w14:textId="77777777" w:rsidR="00A02EFE" w:rsidRPr="00A02EFE" w:rsidRDefault="00A02EFE" w:rsidP="00A02EFE">
      <w:pPr>
        <w:spacing w:after="0" w:line="240" w:lineRule="auto"/>
        <w:ind w:right="283"/>
        <w:jc w:val="left"/>
        <w:outlineLvl w:val="4"/>
        <w:rPr>
          <w:rFonts w:eastAsia="Times New Roman" w:cs="Times New Roman"/>
          <w:b/>
          <w:bCs/>
          <w:i/>
          <w:iCs/>
          <w:noProof/>
          <w:sz w:val="20"/>
          <w:szCs w:val="26"/>
        </w:rPr>
      </w:pPr>
    </w:p>
    <w:p w14:paraId="63082425" w14:textId="77777777" w:rsidR="008F72FD" w:rsidRDefault="008F72FD" w:rsidP="00A02EFE">
      <w:pPr>
        <w:spacing w:after="0" w:line="240" w:lineRule="auto"/>
        <w:rPr>
          <w:rFonts w:eastAsia="Times New Roman" w:cs="Arial"/>
          <w:b/>
          <w:sz w:val="22"/>
          <w:szCs w:val="22"/>
          <w:lang w:eastAsia="fr-FR"/>
        </w:rPr>
      </w:pPr>
    </w:p>
    <w:p w14:paraId="6A09B0D5" w14:textId="77777777" w:rsidR="008F72FD" w:rsidRDefault="008F72FD" w:rsidP="00A02EFE">
      <w:pPr>
        <w:spacing w:after="0" w:line="240" w:lineRule="auto"/>
        <w:rPr>
          <w:rFonts w:eastAsia="Times New Roman" w:cs="Arial"/>
          <w:b/>
          <w:sz w:val="22"/>
          <w:szCs w:val="22"/>
          <w:lang w:eastAsia="fr-FR"/>
        </w:rPr>
      </w:pPr>
    </w:p>
    <w:p w14:paraId="5D51FB44" w14:textId="77777777" w:rsidR="008F72FD" w:rsidRDefault="008F72FD" w:rsidP="00A02EFE">
      <w:pPr>
        <w:spacing w:after="0" w:line="240" w:lineRule="auto"/>
        <w:rPr>
          <w:rFonts w:eastAsia="Times New Roman" w:cs="Arial"/>
          <w:b/>
          <w:sz w:val="22"/>
          <w:szCs w:val="22"/>
          <w:lang w:eastAsia="fr-FR"/>
        </w:rPr>
      </w:pPr>
    </w:p>
    <w:p w14:paraId="3F7A7C73" w14:textId="77777777" w:rsidR="008F72FD" w:rsidRPr="008F72FD" w:rsidRDefault="008F72FD" w:rsidP="008F72FD">
      <w:pPr>
        <w:keepNext/>
        <w:spacing w:after="0" w:line="240" w:lineRule="auto"/>
        <w:ind w:right="283"/>
        <w:jc w:val="right"/>
        <w:outlineLvl w:val="0"/>
        <w:rPr>
          <w:rFonts w:eastAsia="Arial Unicode MS" w:cs="Times New Roman"/>
          <w:b/>
          <w:lang w:eastAsia="fr-FR"/>
        </w:rPr>
      </w:pPr>
      <w:r w:rsidRPr="008F72FD">
        <w:rPr>
          <w:rFonts w:eastAsia="Arial Unicode MS" w:cs="Times New Roman"/>
          <w:b/>
          <w:lang w:eastAsia="fr-FR"/>
        </w:rPr>
        <w:t>COMMUNAUTE D’AGGLOMERATION DU PAYS DE L’OR</w:t>
      </w:r>
    </w:p>
    <w:p w14:paraId="64642C11" w14:textId="77777777" w:rsidR="00723EBF" w:rsidRDefault="00723EBF" w:rsidP="00723EBF">
      <w:pPr>
        <w:spacing w:after="0" w:line="240" w:lineRule="auto"/>
        <w:ind w:right="283"/>
        <w:outlineLvl w:val="4"/>
        <w:rPr>
          <w:rFonts w:eastAsia="Arial Unicode MS" w:cs="Times New Roman"/>
          <w:b/>
          <w:lang w:eastAsia="fr-FR"/>
        </w:rPr>
      </w:pPr>
    </w:p>
    <w:p w14:paraId="3FCA5BD6" w14:textId="69F48376" w:rsidR="008F72FD" w:rsidRDefault="008F72FD" w:rsidP="00723EBF">
      <w:pPr>
        <w:spacing w:after="0" w:line="240" w:lineRule="auto"/>
        <w:ind w:left="2836" w:right="283" w:firstLine="709"/>
        <w:outlineLvl w:val="4"/>
        <w:rPr>
          <w:rFonts w:eastAsia="Arial Unicode MS" w:cs="Times New Roman"/>
          <w:b/>
          <w:lang w:eastAsia="fr-FR"/>
        </w:rPr>
      </w:pPr>
      <w:r w:rsidRPr="008F72FD">
        <w:rPr>
          <w:rFonts w:eastAsia="Arial Unicode MS" w:cs="Times New Roman"/>
          <w:b/>
          <w:lang w:eastAsia="fr-FR"/>
        </w:rPr>
        <w:t>Objet :</w:t>
      </w:r>
      <w:r w:rsidR="00DD00C2">
        <w:rPr>
          <w:rFonts w:eastAsia="Arial Unicode MS" w:cs="Times New Roman"/>
          <w:b/>
          <w:lang w:eastAsia="fr-FR"/>
        </w:rPr>
        <w:t xml:space="preserve"> Prêt de gobelets réutilisables</w:t>
      </w:r>
    </w:p>
    <w:p w14:paraId="5DD22EEA" w14:textId="77777777" w:rsidR="00723EBF" w:rsidRDefault="00723EBF" w:rsidP="00723EBF">
      <w:pPr>
        <w:spacing w:after="0" w:line="240" w:lineRule="auto"/>
        <w:ind w:left="2836" w:right="283" w:firstLine="709"/>
        <w:outlineLvl w:val="4"/>
        <w:rPr>
          <w:rFonts w:eastAsia="Arial Unicode MS" w:cs="Times New Roman"/>
          <w:b/>
          <w:lang w:eastAsia="fr-FR"/>
        </w:rPr>
      </w:pPr>
    </w:p>
    <w:p w14:paraId="2B1DAA4E" w14:textId="77777777" w:rsidR="00723EBF" w:rsidRPr="008F72FD" w:rsidRDefault="00723EBF" w:rsidP="00723EBF">
      <w:pPr>
        <w:keepNext/>
        <w:spacing w:after="0" w:line="240" w:lineRule="auto"/>
        <w:ind w:left="3545" w:right="283"/>
        <w:outlineLvl w:val="0"/>
        <w:rPr>
          <w:rFonts w:eastAsia="Arial Unicode MS" w:cs="Times New Roman"/>
          <w:b/>
          <w:lang w:eastAsia="fr-FR"/>
        </w:rPr>
      </w:pPr>
      <w:r w:rsidRPr="008F72FD">
        <w:rPr>
          <w:rFonts w:eastAsia="Arial Unicode MS" w:cs="Times New Roman"/>
          <w:b/>
          <w:lang w:eastAsia="fr-FR"/>
        </w:rPr>
        <w:t xml:space="preserve">Convention n° </w:t>
      </w:r>
    </w:p>
    <w:p w14:paraId="41CEA52D" w14:textId="2D7CE303" w:rsidR="00723EBF" w:rsidRPr="008F72FD" w:rsidRDefault="00723EBF" w:rsidP="00723EBF">
      <w:pPr>
        <w:spacing w:after="0" w:line="240" w:lineRule="auto"/>
        <w:ind w:left="2836" w:right="283" w:firstLine="709"/>
        <w:outlineLvl w:val="4"/>
        <w:rPr>
          <w:rFonts w:eastAsia="Arial Unicode MS" w:cs="Times New Roman"/>
          <w:b/>
          <w:lang w:eastAsia="fr-FR"/>
        </w:rPr>
      </w:pPr>
    </w:p>
    <w:p w14:paraId="70BA435F" w14:textId="77777777" w:rsidR="008F72FD" w:rsidRDefault="008F72FD" w:rsidP="00A02EFE">
      <w:pPr>
        <w:spacing w:after="0" w:line="240" w:lineRule="auto"/>
        <w:rPr>
          <w:rFonts w:eastAsia="Times New Roman" w:cs="Arial"/>
          <w:b/>
          <w:sz w:val="22"/>
          <w:szCs w:val="22"/>
          <w:lang w:eastAsia="fr-FR"/>
        </w:rPr>
      </w:pPr>
    </w:p>
    <w:p w14:paraId="7D3298B2" w14:textId="77777777" w:rsidR="008F72FD" w:rsidRDefault="008F72FD" w:rsidP="00A02EFE">
      <w:pPr>
        <w:spacing w:after="0" w:line="240" w:lineRule="auto"/>
        <w:rPr>
          <w:rFonts w:eastAsia="Times New Roman" w:cs="Arial"/>
          <w:b/>
          <w:sz w:val="22"/>
          <w:szCs w:val="22"/>
          <w:lang w:eastAsia="fr-FR"/>
        </w:rPr>
      </w:pPr>
    </w:p>
    <w:p w14:paraId="1066A739" w14:textId="77777777" w:rsidR="008F72FD" w:rsidRPr="008F72FD" w:rsidRDefault="008F72FD" w:rsidP="008F72FD">
      <w:pPr>
        <w:spacing w:after="0" w:line="240" w:lineRule="auto"/>
        <w:rPr>
          <w:rFonts w:eastAsia="Times New Roman" w:cs="Arial"/>
          <w:b/>
          <w:sz w:val="22"/>
          <w:szCs w:val="22"/>
          <w:lang w:eastAsia="fr-FR"/>
        </w:rPr>
      </w:pPr>
      <w:r w:rsidRPr="008F72FD">
        <w:rPr>
          <w:rFonts w:eastAsia="Times New Roman" w:cs="Arial"/>
          <w:b/>
          <w:sz w:val="22"/>
          <w:szCs w:val="22"/>
          <w:lang w:eastAsia="fr-FR"/>
        </w:rPr>
        <w:t>ENTRE LES SOUSSIGNÉS :</w:t>
      </w:r>
    </w:p>
    <w:p w14:paraId="4D29F698" w14:textId="77777777" w:rsidR="008F72FD" w:rsidRPr="008F72FD" w:rsidRDefault="008F72FD" w:rsidP="008F72FD">
      <w:pPr>
        <w:spacing w:after="0" w:line="240" w:lineRule="auto"/>
        <w:rPr>
          <w:rFonts w:eastAsia="Times New Roman" w:cs="Arial"/>
          <w:sz w:val="22"/>
          <w:szCs w:val="22"/>
          <w:lang w:eastAsia="fr-FR"/>
        </w:rPr>
      </w:pPr>
    </w:p>
    <w:p w14:paraId="5DE60A98" w14:textId="77777777" w:rsidR="008F72FD" w:rsidRPr="008F72FD" w:rsidRDefault="008F72FD" w:rsidP="008F72FD">
      <w:pPr>
        <w:spacing w:after="0" w:line="240" w:lineRule="auto"/>
        <w:rPr>
          <w:rFonts w:eastAsia="Times New Roman" w:cs="Arial"/>
          <w:lang w:eastAsia="fr-FR"/>
        </w:rPr>
      </w:pPr>
      <w:r w:rsidRPr="008F72FD">
        <w:rPr>
          <w:rFonts w:eastAsia="Times New Roman" w:cs="Arial"/>
          <w:lang w:eastAsia="fr-FR"/>
        </w:rPr>
        <w:t xml:space="preserve">La Communauté d’Agglomération du Pays de l’Or, Centre administratif CS 70040 - 34131 Mauguio Cedex, représentée par son Président en exercice, M. Stéphan ROSSIGNOL, habilité aux fins des présentes par délibération en date du 24 juillet 2020 n°CC59/2020 du </w:t>
      </w:r>
      <w:r w:rsidRPr="008F72FD">
        <w:rPr>
          <w:rFonts w:eastAsia="Times New Roman" w:cs="Arial"/>
          <w:color w:val="000000"/>
          <w:lang w:eastAsia="fr-FR"/>
        </w:rPr>
        <w:t>Conseil communautaire,</w:t>
      </w:r>
      <w:r w:rsidRPr="008F72FD">
        <w:rPr>
          <w:rFonts w:eastAsia="Times New Roman" w:cs="Arial"/>
          <w:lang w:eastAsia="fr-FR"/>
        </w:rPr>
        <w:t xml:space="preserve"> </w:t>
      </w:r>
    </w:p>
    <w:p w14:paraId="5D316034" w14:textId="77777777" w:rsidR="008F72FD" w:rsidRPr="008F72FD" w:rsidRDefault="008F72FD" w:rsidP="008F72FD">
      <w:pPr>
        <w:spacing w:after="0" w:line="240" w:lineRule="auto"/>
        <w:rPr>
          <w:rFonts w:eastAsia="Times New Roman" w:cs="Arial"/>
          <w:lang w:eastAsia="fr-FR"/>
        </w:rPr>
      </w:pPr>
    </w:p>
    <w:p w14:paraId="4A4495D0" w14:textId="77777777" w:rsidR="008F72FD" w:rsidRPr="008F72FD" w:rsidRDefault="008F72FD" w:rsidP="008F72FD">
      <w:pPr>
        <w:spacing w:after="0" w:line="240" w:lineRule="auto"/>
        <w:rPr>
          <w:rFonts w:eastAsia="Times New Roman" w:cs="Arial"/>
          <w:i/>
          <w:lang w:eastAsia="fr-FR"/>
        </w:rPr>
      </w:pPr>
      <w:r w:rsidRPr="008F72FD">
        <w:rPr>
          <w:rFonts w:eastAsia="Times New Roman" w:cs="Arial"/>
          <w:i/>
          <w:lang w:eastAsia="fr-FR"/>
        </w:rPr>
        <w:t>Ci-après dénommée « l’Agglomération du Pays de l’Or »,</w:t>
      </w:r>
    </w:p>
    <w:p w14:paraId="44342E1F" w14:textId="77777777" w:rsidR="008F72FD" w:rsidRPr="00B06973" w:rsidRDefault="008F72FD" w:rsidP="008F72FD">
      <w:pPr>
        <w:spacing w:after="0" w:line="240" w:lineRule="auto"/>
        <w:rPr>
          <w:rFonts w:eastAsia="Times New Roman" w:cs="Arial"/>
          <w:sz w:val="20"/>
          <w:szCs w:val="20"/>
          <w:lang w:eastAsia="fr-FR"/>
        </w:rPr>
      </w:pPr>
    </w:p>
    <w:p w14:paraId="20DA21C5" w14:textId="77777777" w:rsidR="008F72FD" w:rsidRPr="008F72FD" w:rsidRDefault="008F72FD" w:rsidP="008F72FD">
      <w:pPr>
        <w:spacing w:after="0" w:line="240" w:lineRule="auto"/>
        <w:rPr>
          <w:rFonts w:eastAsia="Times New Roman" w:cs="Arial"/>
          <w:b/>
          <w:sz w:val="22"/>
          <w:szCs w:val="22"/>
          <w:lang w:eastAsia="fr-FR"/>
        </w:rPr>
      </w:pPr>
      <w:r w:rsidRPr="008F72FD">
        <w:rPr>
          <w:rFonts w:eastAsia="Times New Roman" w:cs="Arial"/>
          <w:b/>
          <w:sz w:val="22"/>
          <w:szCs w:val="22"/>
          <w:lang w:eastAsia="fr-FR"/>
        </w:rPr>
        <w:t>D’UNE PART,</w:t>
      </w:r>
    </w:p>
    <w:p w14:paraId="78A340BD" w14:textId="77777777" w:rsidR="00A02EFE" w:rsidRPr="00723EBF" w:rsidRDefault="00A02EFE" w:rsidP="00A02EFE">
      <w:pPr>
        <w:spacing w:after="0" w:line="240" w:lineRule="auto"/>
        <w:rPr>
          <w:rFonts w:eastAsia="Times New Roman" w:cs="Arial"/>
          <w:sz w:val="20"/>
          <w:szCs w:val="20"/>
          <w:lang w:eastAsia="fr-FR"/>
        </w:rPr>
      </w:pPr>
    </w:p>
    <w:p w14:paraId="4AA52AA8" w14:textId="296F9C6E" w:rsidR="00831907" w:rsidRDefault="00831907" w:rsidP="00A02EFE">
      <w:pPr>
        <w:spacing w:after="0" w:line="240" w:lineRule="auto"/>
        <w:rPr>
          <w:rFonts w:eastAsia="Times New Roman" w:cs="Arial"/>
          <w:sz w:val="22"/>
          <w:szCs w:val="22"/>
          <w:lang w:eastAsia="fr-FR"/>
        </w:rPr>
      </w:pPr>
      <w:r>
        <w:rPr>
          <w:rFonts w:eastAsia="Times New Roman" w:cs="Arial"/>
          <w:sz w:val="22"/>
          <w:szCs w:val="22"/>
          <w:lang w:eastAsia="fr-FR"/>
        </w:rPr>
        <w:t xml:space="preserve">Et, </w:t>
      </w:r>
    </w:p>
    <w:p w14:paraId="3D6240DA" w14:textId="6B90046F" w:rsidR="00D622CC" w:rsidRDefault="00D622CC" w:rsidP="00D622CC">
      <w:pPr>
        <w:pBdr>
          <w:top w:val="single" w:sz="4" w:space="1" w:color="auto"/>
          <w:left w:val="single" w:sz="4" w:space="4" w:color="auto"/>
          <w:bottom w:val="single" w:sz="4" w:space="1" w:color="auto"/>
          <w:right w:val="single" w:sz="4" w:space="4" w:color="auto"/>
        </w:pBdr>
        <w:tabs>
          <w:tab w:val="right" w:leader="dot" w:pos="9153"/>
        </w:tabs>
        <w:spacing w:before="120" w:after="120"/>
      </w:pPr>
      <w:r>
        <w:t>Nom de la structure :</w:t>
      </w:r>
      <w:r>
        <w:tab/>
      </w:r>
    </w:p>
    <w:p w14:paraId="7D5ED285" w14:textId="77777777" w:rsidR="00D622CC" w:rsidRDefault="00D622CC" w:rsidP="00D622CC">
      <w:pPr>
        <w:pBdr>
          <w:top w:val="single" w:sz="4" w:space="1" w:color="auto"/>
          <w:left w:val="single" w:sz="4" w:space="4" w:color="auto"/>
          <w:bottom w:val="single" w:sz="4" w:space="1" w:color="auto"/>
          <w:right w:val="single" w:sz="4" w:space="4" w:color="auto"/>
        </w:pBdr>
        <w:tabs>
          <w:tab w:val="right" w:leader="dot" w:pos="9153"/>
        </w:tabs>
        <w:spacing w:before="120" w:after="120"/>
      </w:pPr>
      <w:r>
        <w:t>Adresse :</w:t>
      </w:r>
      <w:r w:rsidR="00AE2F21">
        <w:t xml:space="preserve"> </w:t>
      </w:r>
      <w:r>
        <w:tab/>
      </w:r>
    </w:p>
    <w:p w14:paraId="39BF24AA" w14:textId="0F0711A9" w:rsidR="00D622CC" w:rsidRDefault="00D622CC" w:rsidP="00D622CC">
      <w:pPr>
        <w:pBdr>
          <w:top w:val="single" w:sz="4" w:space="1" w:color="auto"/>
          <w:left w:val="single" w:sz="4" w:space="4" w:color="auto"/>
          <w:bottom w:val="single" w:sz="4" w:space="1" w:color="auto"/>
          <w:right w:val="single" w:sz="4" w:space="4" w:color="auto"/>
        </w:pBdr>
        <w:tabs>
          <w:tab w:val="right" w:leader="dot" w:pos="9153"/>
        </w:tabs>
        <w:spacing w:before="120" w:after="120"/>
      </w:pPr>
      <w:r>
        <w:tab/>
      </w:r>
    </w:p>
    <w:p w14:paraId="74EE5A68" w14:textId="77777777" w:rsidR="00D622CC" w:rsidRDefault="00D622CC" w:rsidP="00D622CC">
      <w:pPr>
        <w:pBdr>
          <w:top w:val="single" w:sz="4" w:space="1" w:color="auto"/>
          <w:left w:val="single" w:sz="4" w:space="4" w:color="auto"/>
          <w:bottom w:val="single" w:sz="4" w:space="1" w:color="auto"/>
          <w:right w:val="single" w:sz="4" w:space="4" w:color="auto"/>
        </w:pBdr>
        <w:tabs>
          <w:tab w:val="right" w:leader="dot" w:pos="9153"/>
        </w:tabs>
        <w:spacing w:before="120" w:after="120"/>
      </w:pPr>
      <w:r>
        <w:t>Tél :</w:t>
      </w:r>
      <w:r>
        <w:tab/>
      </w:r>
    </w:p>
    <w:p w14:paraId="770F4103" w14:textId="1D3D3346" w:rsidR="00D622CC" w:rsidRDefault="00D622CC" w:rsidP="00D622CC">
      <w:pPr>
        <w:pBdr>
          <w:top w:val="single" w:sz="4" w:space="1" w:color="auto"/>
          <w:left w:val="single" w:sz="4" w:space="4" w:color="auto"/>
          <w:bottom w:val="single" w:sz="4" w:space="1" w:color="auto"/>
          <w:right w:val="single" w:sz="4" w:space="4" w:color="auto"/>
        </w:pBdr>
        <w:tabs>
          <w:tab w:val="right" w:leader="dot" w:pos="9153"/>
        </w:tabs>
        <w:spacing w:before="120" w:after="120"/>
      </w:pPr>
      <w:r>
        <w:t>Mail :</w:t>
      </w:r>
      <w:r>
        <w:tab/>
      </w:r>
    </w:p>
    <w:p w14:paraId="1F3E0C66" w14:textId="77777777" w:rsidR="00D622CC" w:rsidRDefault="00D622CC" w:rsidP="00D622CC">
      <w:pPr>
        <w:pBdr>
          <w:top w:val="single" w:sz="4" w:space="1" w:color="auto"/>
          <w:left w:val="single" w:sz="4" w:space="4" w:color="auto"/>
          <w:bottom w:val="single" w:sz="4" w:space="1" w:color="auto"/>
          <w:right w:val="single" w:sz="4" w:space="4" w:color="auto"/>
        </w:pBdr>
        <w:tabs>
          <w:tab w:val="left" w:leader="dot" w:pos="6096"/>
          <w:tab w:val="right" w:leader="dot" w:pos="9153"/>
        </w:tabs>
        <w:spacing w:before="120" w:after="120"/>
      </w:pPr>
      <w:r>
        <w:t>Numéro SIRET :</w:t>
      </w:r>
      <w:r>
        <w:tab/>
        <w:t xml:space="preserve"> Code APE :</w:t>
      </w:r>
      <w:r>
        <w:tab/>
      </w:r>
    </w:p>
    <w:p w14:paraId="4EDC8A59" w14:textId="24AEA145" w:rsidR="00C71693" w:rsidRPr="00B06973" w:rsidRDefault="00D622CC" w:rsidP="00B06973">
      <w:pPr>
        <w:pBdr>
          <w:top w:val="single" w:sz="4" w:space="1" w:color="auto"/>
          <w:left w:val="single" w:sz="4" w:space="4" w:color="auto"/>
          <w:bottom w:val="single" w:sz="4" w:space="1" w:color="auto"/>
          <w:right w:val="single" w:sz="4" w:space="4" w:color="auto"/>
        </w:pBdr>
        <w:tabs>
          <w:tab w:val="right" w:leader="dot" w:pos="9153"/>
        </w:tabs>
        <w:spacing w:before="120" w:after="120"/>
      </w:pPr>
      <w:r>
        <w:t>Présidée par</w:t>
      </w:r>
      <w:r>
        <w:tab/>
      </w:r>
    </w:p>
    <w:p w14:paraId="68411451" w14:textId="42EE8025" w:rsidR="000D206E" w:rsidRPr="00C71693" w:rsidRDefault="00C71693" w:rsidP="00C71693">
      <w:pPr>
        <w:contextualSpacing/>
        <w:rPr>
          <w:rFonts w:eastAsia="Times New Roman" w:cs="Times New Roman"/>
          <w:lang w:eastAsia="fr-FR"/>
        </w:rPr>
      </w:pPr>
      <w:r w:rsidRPr="008F72FD">
        <w:rPr>
          <w:rFonts w:eastAsia="Times New Roman" w:cs="Times New Roman"/>
          <w:lang w:eastAsia="fr-FR"/>
        </w:rPr>
        <w:t xml:space="preserve">Représentée par son </w:t>
      </w:r>
      <w:r w:rsidR="008F72FD" w:rsidRPr="008F72FD">
        <w:rPr>
          <w:rFonts w:eastAsia="Times New Roman" w:cs="Times New Roman"/>
          <w:lang w:eastAsia="fr-FR"/>
        </w:rPr>
        <w:t>……………</w:t>
      </w:r>
      <w:proofErr w:type="gramStart"/>
      <w:r w:rsidR="008F72FD" w:rsidRPr="008F72FD">
        <w:rPr>
          <w:rFonts w:eastAsia="Times New Roman" w:cs="Times New Roman"/>
          <w:lang w:eastAsia="fr-FR"/>
        </w:rPr>
        <w:t>…….</w:t>
      </w:r>
      <w:proofErr w:type="gramEnd"/>
      <w:r w:rsidR="008F72FD" w:rsidRPr="008F72FD">
        <w:rPr>
          <w:rFonts w:eastAsia="Times New Roman" w:cs="Times New Roman"/>
          <w:lang w:eastAsia="fr-FR"/>
        </w:rPr>
        <w:t>.</w:t>
      </w:r>
      <w:r w:rsidRPr="008F72FD">
        <w:rPr>
          <w:rFonts w:eastAsia="Times New Roman" w:cs="Times New Roman"/>
          <w:lang w:eastAsia="fr-FR"/>
        </w:rPr>
        <w:t xml:space="preserve">, Monsieur Madame, dument habilité par une délibération </w:t>
      </w:r>
      <w:r w:rsidRPr="008F72FD">
        <w:rPr>
          <w:rFonts w:eastAsia="Times New Roman" w:cs="Gill Sans"/>
          <w:lang w:eastAsia="fr-FR"/>
        </w:rPr>
        <w:t>n°…</w:t>
      </w:r>
      <w:r w:rsidR="008F72FD">
        <w:rPr>
          <w:rFonts w:eastAsia="Times New Roman" w:cs="Gill Sans"/>
          <w:lang w:eastAsia="fr-FR"/>
        </w:rPr>
        <w:t>…………………</w:t>
      </w:r>
      <w:r w:rsidRPr="008F72FD">
        <w:rPr>
          <w:rFonts w:eastAsia="Times New Roman" w:cs="Gill Sans"/>
          <w:lang w:eastAsia="fr-FR"/>
        </w:rPr>
        <w:t>., en date du…</w:t>
      </w:r>
      <w:r w:rsidR="008F72FD">
        <w:rPr>
          <w:rFonts w:eastAsia="Times New Roman" w:cs="Gill Sans"/>
          <w:lang w:eastAsia="fr-FR"/>
        </w:rPr>
        <w:t>……………………………………..</w:t>
      </w:r>
    </w:p>
    <w:p w14:paraId="246BD8D3" w14:textId="77777777" w:rsidR="008F72FD" w:rsidRPr="00B06973" w:rsidRDefault="008F72FD" w:rsidP="000D206E">
      <w:pPr>
        <w:spacing w:after="0" w:line="240" w:lineRule="auto"/>
        <w:rPr>
          <w:rFonts w:eastAsia="Times New Roman" w:cs="Arial"/>
          <w:i/>
          <w:sz w:val="20"/>
          <w:szCs w:val="20"/>
          <w:lang w:eastAsia="fr-FR"/>
        </w:rPr>
      </w:pPr>
    </w:p>
    <w:p w14:paraId="23B5446A" w14:textId="4985932C" w:rsidR="000D206E" w:rsidRPr="00A02EFE" w:rsidRDefault="000D206E" w:rsidP="000D206E">
      <w:pPr>
        <w:spacing w:after="0" w:line="240" w:lineRule="auto"/>
        <w:rPr>
          <w:rFonts w:eastAsia="Times New Roman" w:cs="Arial"/>
          <w:i/>
          <w:sz w:val="22"/>
          <w:szCs w:val="22"/>
          <w:lang w:eastAsia="fr-FR"/>
        </w:rPr>
      </w:pPr>
      <w:r w:rsidRPr="00A02EFE">
        <w:rPr>
          <w:rFonts w:eastAsia="Times New Roman" w:cs="Arial"/>
          <w:i/>
          <w:sz w:val="22"/>
          <w:szCs w:val="22"/>
          <w:lang w:eastAsia="fr-FR"/>
        </w:rPr>
        <w:t>Ci-après dénommée « l’</w:t>
      </w:r>
      <w:r w:rsidR="00831907">
        <w:rPr>
          <w:rFonts w:eastAsia="Times New Roman" w:cs="Arial"/>
          <w:i/>
          <w:sz w:val="22"/>
          <w:szCs w:val="22"/>
          <w:lang w:eastAsia="fr-FR"/>
        </w:rPr>
        <w:t>Emprunteur »</w:t>
      </w:r>
      <w:r w:rsidRPr="00A02EFE">
        <w:rPr>
          <w:rFonts w:eastAsia="Times New Roman" w:cs="Arial"/>
          <w:i/>
          <w:sz w:val="22"/>
          <w:szCs w:val="22"/>
          <w:lang w:eastAsia="fr-FR"/>
        </w:rPr>
        <w:t>,</w:t>
      </w:r>
    </w:p>
    <w:p w14:paraId="7C0E59F1" w14:textId="77777777" w:rsidR="00A02EFE" w:rsidRPr="00B06973" w:rsidRDefault="00A02EFE" w:rsidP="00A02EFE">
      <w:pPr>
        <w:spacing w:after="0" w:line="240" w:lineRule="auto"/>
        <w:contextualSpacing/>
        <w:rPr>
          <w:rFonts w:eastAsia="Times New Roman" w:cs="Times New Roman"/>
          <w:sz w:val="20"/>
          <w:szCs w:val="20"/>
          <w:lang w:eastAsia="fr-FR"/>
        </w:rPr>
      </w:pPr>
      <w:r w:rsidRPr="00A02EFE">
        <w:rPr>
          <w:rFonts w:eastAsia="Times New Roman" w:cs="Times New Roman"/>
          <w:lang w:eastAsia="fr-FR"/>
        </w:rPr>
        <w:tab/>
      </w:r>
    </w:p>
    <w:p w14:paraId="02AAA199" w14:textId="77777777" w:rsidR="008F72FD" w:rsidRPr="008F72FD" w:rsidRDefault="008F72FD" w:rsidP="008F72FD">
      <w:pPr>
        <w:spacing w:after="0" w:line="240" w:lineRule="auto"/>
        <w:rPr>
          <w:rFonts w:eastAsia="Calibri" w:cs="Gill Sans"/>
          <w:color w:val="000000"/>
          <w:lang w:eastAsia="fr-FR"/>
        </w:rPr>
      </w:pPr>
      <w:r w:rsidRPr="008F72FD">
        <w:rPr>
          <w:rFonts w:eastAsia="Calibri" w:cs="Gill Sans"/>
          <w:b/>
          <w:color w:val="000000"/>
          <w:lang w:eastAsia="fr-FR"/>
        </w:rPr>
        <w:t>Vu</w:t>
      </w:r>
      <w:r w:rsidRPr="008F72FD">
        <w:rPr>
          <w:rFonts w:eastAsia="Calibri" w:cs="Gill Sans"/>
          <w:color w:val="000000"/>
          <w:lang w:eastAsia="fr-FR"/>
        </w:rPr>
        <w:t xml:space="preserve"> l’arrêté préfectoral n°2024-08-DRCL-0432, en date du 6 août 2024, arrêtant les statuts de la communauté d’Agglomération du Pays de l’Or, </w:t>
      </w:r>
    </w:p>
    <w:p w14:paraId="67062300" w14:textId="77777777" w:rsidR="008F72FD" w:rsidRPr="008F72FD" w:rsidRDefault="008F72FD" w:rsidP="008F72FD">
      <w:pPr>
        <w:spacing w:after="0" w:line="240" w:lineRule="auto"/>
        <w:rPr>
          <w:rFonts w:eastAsia="Calibri" w:cs="Gill Sans"/>
          <w:color w:val="000000"/>
          <w:lang w:eastAsia="fr-FR"/>
        </w:rPr>
      </w:pPr>
    </w:p>
    <w:p w14:paraId="7179AE96" w14:textId="77777777" w:rsidR="008F72FD" w:rsidRPr="008F72FD" w:rsidRDefault="008F72FD" w:rsidP="008F72FD">
      <w:pPr>
        <w:spacing w:after="0" w:line="240" w:lineRule="auto"/>
        <w:rPr>
          <w:rFonts w:eastAsia="Calibri" w:cs="Gill Sans"/>
          <w:lang w:eastAsia="fr-FR"/>
        </w:rPr>
      </w:pPr>
      <w:r w:rsidRPr="008F72FD">
        <w:rPr>
          <w:rFonts w:eastAsia="Calibri" w:cs="Gill Sans"/>
          <w:b/>
          <w:lang w:eastAsia="fr-FR"/>
        </w:rPr>
        <w:t>Vu</w:t>
      </w:r>
      <w:r w:rsidRPr="008F72FD">
        <w:rPr>
          <w:rFonts w:eastAsia="Calibri" w:cs="Gill Sans"/>
          <w:lang w:eastAsia="fr-FR"/>
        </w:rPr>
        <w:t xml:space="preserve"> la délibération du conseil communautaire n°CC2016/69, en date du 28 septembre 2016 définissant l’intérêt communautaire,</w:t>
      </w:r>
    </w:p>
    <w:p w14:paraId="642B9D70" w14:textId="77777777" w:rsidR="008F72FD" w:rsidRPr="008F72FD" w:rsidRDefault="008F72FD" w:rsidP="008F72FD">
      <w:pPr>
        <w:spacing w:after="0" w:line="240" w:lineRule="auto"/>
        <w:rPr>
          <w:rFonts w:eastAsia="Calibri" w:cs="Gill Sans"/>
          <w:color w:val="000000"/>
          <w:lang w:eastAsia="fr-FR"/>
        </w:rPr>
      </w:pPr>
    </w:p>
    <w:p w14:paraId="7843AFB8" w14:textId="77777777" w:rsidR="008F72FD" w:rsidRPr="008F72FD" w:rsidRDefault="008F72FD" w:rsidP="008F72FD">
      <w:pPr>
        <w:spacing w:after="0" w:line="240" w:lineRule="auto"/>
        <w:rPr>
          <w:rFonts w:eastAsia="Calibri" w:cs="Gill Sans"/>
          <w:lang w:eastAsia="fr-FR"/>
        </w:rPr>
      </w:pPr>
      <w:r w:rsidRPr="008F72FD">
        <w:rPr>
          <w:rFonts w:eastAsia="Calibri" w:cs="Gill Sans"/>
          <w:b/>
          <w:lang w:eastAsia="fr-FR"/>
        </w:rPr>
        <w:t>Vu</w:t>
      </w:r>
      <w:r w:rsidRPr="008F72FD">
        <w:rPr>
          <w:rFonts w:eastAsia="Calibri" w:cs="Gill Sans"/>
          <w:lang w:eastAsia="fr-FR"/>
        </w:rPr>
        <w:t xml:space="preserve"> la délibération du conseil communautaire n°CC2018/119, en date du 19 décembre 2018, définissant l’intérêt communautaire,</w:t>
      </w:r>
    </w:p>
    <w:p w14:paraId="57B92479" w14:textId="77777777" w:rsidR="008F72FD" w:rsidRPr="008F72FD" w:rsidRDefault="008F72FD" w:rsidP="008F72FD">
      <w:pPr>
        <w:spacing w:after="0" w:line="240" w:lineRule="auto"/>
        <w:rPr>
          <w:rFonts w:eastAsia="Calibri" w:cs="Gill Sans"/>
          <w:color w:val="000000"/>
          <w:lang w:eastAsia="fr-FR"/>
        </w:rPr>
      </w:pPr>
    </w:p>
    <w:p w14:paraId="74B90EE5" w14:textId="77777777" w:rsidR="008F72FD" w:rsidRPr="008F72FD" w:rsidRDefault="008F72FD" w:rsidP="008F72FD">
      <w:pPr>
        <w:spacing w:after="0" w:line="240" w:lineRule="auto"/>
        <w:rPr>
          <w:rFonts w:eastAsia="Times New Roman" w:cs="Times New Roman"/>
          <w:lang w:eastAsia="fr-FR"/>
        </w:rPr>
      </w:pPr>
      <w:r w:rsidRPr="008F72FD">
        <w:rPr>
          <w:rFonts w:eastAsia="Times New Roman" w:cs="Times New Roman"/>
          <w:b/>
          <w:lang w:eastAsia="fr-FR"/>
        </w:rPr>
        <w:t>Vu</w:t>
      </w:r>
      <w:r w:rsidRPr="008F72FD">
        <w:rPr>
          <w:rFonts w:eastAsia="Times New Roman" w:cs="Times New Roman"/>
          <w:lang w:eastAsia="fr-FR"/>
        </w:rPr>
        <w:t xml:space="preserve"> les délibérations n° 2020/16 et n° 2020/18 du conseil communautaire en date du 11 juillet 2020, relatives à l’élection de Monsieur Stephan ROSSIGNOL, en qualité de Président, </w:t>
      </w:r>
    </w:p>
    <w:p w14:paraId="7A7D5854" w14:textId="77777777" w:rsidR="008F72FD" w:rsidRPr="008F72FD" w:rsidRDefault="008F72FD" w:rsidP="008F72FD">
      <w:pPr>
        <w:spacing w:after="0" w:line="240" w:lineRule="auto"/>
        <w:rPr>
          <w:rFonts w:eastAsia="Times New Roman" w:cs="Times New Roman"/>
          <w:sz w:val="20"/>
          <w:szCs w:val="20"/>
          <w:lang w:eastAsia="fr-FR"/>
        </w:rPr>
      </w:pPr>
    </w:p>
    <w:p w14:paraId="35B29982" w14:textId="77777777" w:rsidR="008F72FD" w:rsidRPr="008F72FD" w:rsidRDefault="008F72FD" w:rsidP="008F72FD">
      <w:pPr>
        <w:spacing w:after="0" w:line="240" w:lineRule="auto"/>
        <w:rPr>
          <w:rFonts w:eastAsia="Calibri" w:cs="Gill Sans"/>
          <w:lang w:eastAsia="fr-FR"/>
        </w:rPr>
      </w:pPr>
      <w:r w:rsidRPr="008F72FD">
        <w:rPr>
          <w:rFonts w:eastAsia="Calibri" w:cs="Gill Sans"/>
          <w:b/>
          <w:lang w:eastAsia="fr-FR"/>
        </w:rPr>
        <w:t>Vu</w:t>
      </w:r>
      <w:r w:rsidRPr="008F72FD">
        <w:rPr>
          <w:rFonts w:eastAsia="Calibri" w:cs="Gill Sans"/>
          <w:lang w:eastAsia="fr-FR"/>
        </w:rPr>
        <w:t xml:space="preserve"> la délibération du conseil communautaire n°CC59/2020, en date du 24 juillet 2020, portant définition de la délégation de compétences au Président, </w:t>
      </w:r>
    </w:p>
    <w:p w14:paraId="6579C585" w14:textId="77777777" w:rsidR="00A02EFE" w:rsidRDefault="00A02EFE" w:rsidP="00A02EFE">
      <w:pPr>
        <w:spacing w:after="0" w:line="240" w:lineRule="auto"/>
        <w:jc w:val="left"/>
        <w:rPr>
          <w:rFonts w:eastAsia="Calibri" w:cs="Gill Sans"/>
          <w:lang w:eastAsia="fr-FR"/>
        </w:rPr>
      </w:pPr>
    </w:p>
    <w:p w14:paraId="3B113173" w14:textId="77777777" w:rsidR="008F72FD" w:rsidRDefault="008F72FD" w:rsidP="00A02EFE">
      <w:pPr>
        <w:spacing w:after="0" w:line="240" w:lineRule="auto"/>
        <w:jc w:val="left"/>
        <w:rPr>
          <w:rFonts w:eastAsia="Calibri" w:cs="Gill Sans"/>
          <w:lang w:eastAsia="fr-FR"/>
        </w:rPr>
      </w:pPr>
    </w:p>
    <w:p w14:paraId="095BC16C" w14:textId="77777777" w:rsidR="008F72FD" w:rsidRPr="00A02EFE" w:rsidRDefault="008F72FD" w:rsidP="00A02EFE">
      <w:pPr>
        <w:spacing w:after="0" w:line="240" w:lineRule="auto"/>
        <w:jc w:val="left"/>
        <w:rPr>
          <w:rFonts w:eastAsia="Calibri" w:cs="Gill Sans"/>
          <w:lang w:eastAsia="fr-FR"/>
        </w:rPr>
      </w:pPr>
    </w:p>
    <w:p w14:paraId="0B9B7AA7" w14:textId="77777777" w:rsidR="00A02EFE" w:rsidRPr="008F72FD" w:rsidRDefault="00A02EFE" w:rsidP="008F72FD">
      <w:pPr>
        <w:spacing w:after="0" w:line="240" w:lineRule="auto"/>
        <w:jc w:val="left"/>
        <w:rPr>
          <w:rFonts w:eastAsia="Calibri" w:cs="Gill Sans"/>
          <w:b/>
          <w:lang w:eastAsia="fr-FR"/>
        </w:rPr>
      </w:pPr>
      <w:r w:rsidRPr="008F72FD">
        <w:rPr>
          <w:rFonts w:eastAsia="Calibri" w:cs="Gill Sans"/>
          <w:b/>
          <w:lang w:eastAsia="fr-FR"/>
        </w:rPr>
        <w:lastRenderedPageBreak/>
        <w:t xml:space="preserve">Considérant, </w:t>
      </w:r>
    </w:p>
    <w:p w14:paraId="66BD0B64" w14:textId="77777777" w:rsidR="00A02EFE" w:rsidRPr="008F72FD" w:rsidRDefault="00A02EFE" w:rsidP="008F72FD">
      <w:pPr>
        <w:spacing w:after="0" w:line="240" w:lineRule="auto"/>
        <w:jc w:val="left"/>
        <w:rPr>
          <w:rFonts w:eastAsia="Calibri" w:cs="Gill Sans"/>
          <w:i/>
          <w:iCs/>
          <w:lang w:eastAsia="fr-FR"/>
        </w:rPr>
      </w:pPr>
    </w:p>
    <w:p w14:paraId="7D6AFA67" w14:textId="77777777" w:rsidR="00D609AC" w:rsidRPr="008F72FD" w:rsidRDefault="00A02EFE" w:rsidP="008F72FD">
      <w:pPr>
        <w:spacing w:after="0" w:line="240" w:lineRule="auto"/>
        <w:contextualSpacing/>
        <w:jc w:val="center"/>
        <w:rPr>
          <w:rFonts w:eastAsia="Times New Roman" w:cs="Times New Roman"/>
          <w:b/>
          <w:lang w:eastAsia="fr-FR"/>
        </w:rPr>
      </w:pPr>
      <w:r w:rsidRPr="008F72FD">
        <w:rPr>
          <w:rFonts w:eastAsia="Times New Roman" w:cs="Times New Roman"/>
          <w:b/>
          <w:lang w:eastAsia="fr-FR"/>
        </w:rPr>
        <w:t>Il est convenu ce qui suit :</w:t>
      </w:r>
    </w:p>
    <w:p w14:paraId="26DF3E5F" w14:textId="2018130B" w:rsidR="00831907" w:rsidRPr="008F72FD" w:rsidRDefault="00831907" w:rsidP="008F72FD">
      <w:pPr>
        <w:spacing w:after="0" w:line="240" w:lineRule="auto"/>
        <w:jc w:val="left"/>
        <w:rPr>
          <w:b/>
        </w:rPr>
      </w:pPr>
      <w:r w:rsidRPr="008F72FD">
        <w:rPr>
          <w:b/>
        </w:rPr>
        <w:t>Préambule</w:t>
      </w:r>
    </w:p>
    <w:p w14:paraId="5D689216" w14:textId="77777777" w:rsidR="00831907" w:rsidRPr="008F72FD" w:rsidRDefault="00831907" w:rsidP="008F72FD">
      <w:pPr>
        <w:spacing w:after="0" w:line="240" w:lineRule="auto"/>
      </w:pPr>
    </w:p>
    <w:p w14:paraId="0FB92C17" w14:textId="77777777" w:rsidR="00831907" w:rsidRDefault="00831907" w:rsidP="008F72FD">
      <w:pPr>
        <w:spacing w:after="0" w:line="240" w:lineRule="auto"/>
      </w:pPr>
      <w:r w:rsidRPr="008F72FD">
        <w:t>Dans une logique de réduction des déchets à la source, notamment désignée sous l’action 9 du Plan Local de Prévention « Réduire les déchets lors des évènements » mais aussi dans le contexte d’interdiction de la vaisselle à usage unique, l’Agglomération du Pays de l’Or souhaite accompagner les organisateurs d’évènements festifs ou de manifestations culturelles et sportives dans une démarche plus respectueuse de l’environnement par la limitation de la production de déchets.</w:t>
      </w:r>
    </w:p>
    <w:p w14:paraId="64101112" w14:textId="77777777" w:rsidR="008F72FD" w:rsidRPr="008F72FD" w:rsidRDefault="008F72FD" w:rsidP="008F72FD">
      <w:pPr>
        <w:spacing w:after="0" w:line="240" w:lineRule="auto"/>
      </w:pPr>
    </w:p>
    <w:p w14:paraId="4DDD1684" w14:textId="77777777" w:rsidR="00831907" w:rsidRDefault="00831907" w:rsidP="008F72FD">
      <w:pPr>
        <w:spacing w:after="0" w:line="240" w:lineRule="auto"/>
      </w:pPr>
      <w:r w:rsidRPr="008F72FD">
        <w:t xml:space="preserve">Le système du gobelet réutilisable et consigné est devenu une excellente alternative aux gobelets jetables. En effet, il est plus résistant (accepte les boissons chaudes), lavable en machine (80°C maximum) et génère moins de déchets. </w:t>
      </w:r>
    </w:p>
    <w:p w14:paraId="5E0F093D" w14:textId="77777777" w:rsidR="008F72FD" w:rsidRPr="008F72FD" w:rsidRDefault="008F72FD" w:rsidP="008F72FD">
      <w:pPr>
        <w:spacing w:after="0" w:line="240" w:lineRule="auto"/>
      </w:pPr>
    </w:p>
    <w:p w14:paraId="35B5AD94" w14:textId="77777777" w:rsidR="00831907" w:rsidRPr="008F72FD" w:rsidRDefault="00831907" w:rsidP="008F72FD">
      <w:pPr>
        <w:spacing w:after="0" w:line="240" w:lineRule="auto"/>
      </w:pPr>
      <w:r w:rsidRPr="008F72FD">
        <w:t>Dans ce cadre, l’Agglomération du Pays de l’Or s’est dotée de gobelets réutilisables qu’elle propose de mettre à disposition gratuite sous conditions. La consignation significative permet d’en garantir la récupération et ainsi d’inscrire l’action de l’Agglomération dans le temps.</w:t>
      </w:r>
    </w:p>
    <w:p w14:paraId="15D0E8A0" w14:textId="77777777" w:rsidR="00831907" w:rsidRPr="008F72FD" w:rsidRDefault="00831907" w:rsidP="008F72FD">
      <w:pPr>
        <w:spacing w:after="0" w:line="240" w:lineRule="auto"/>
      </w:pPr>
    </w:p>
    <w:p w14:paraId="0A78FE25" w14:textId="77777777" w:rsidR="000B5CA8" w:rsidRPr="008F72FD" w:rsidRDefault="00334B45" w:rsidP="008F72FD">
      <w:pPr>
        <w:pStyle w:val="Titre1"/>
        <w:spacing w:before="0" w:line="240" w:lineRule="auto"/>
        <w:rPr>
          <w:b/>
          <w:sz w:val="24"/>
          <w:szCs w:val="24"/>
        </w:rPr>
      </w:pPr>
      <w:r w:rsidRPr="008F72FD">
        <w:rPr>
          <w:b/>
          <w:sz w:val="24"/>
          <w:szCs w:val="24"/>
        </w:rPr>
        <w:t>Objet de la convention</w:t>
      </w:r>
    </w:p>
    <w:p w14:paraId="5EBA97DF" w14:textId="77777777" w:rsidR="00A02EFE" w:rsidRPr="008F72FD" w:rsidRDefault="00A02EFE" w:rsidP="008F72FD">
      <w:pPr>
        <w:spacing w:after="0" w:line="240" w:lineRule="auto"/>
      </w:pPr>
    </w:p>
    <w:p w14:paraId="37613C53" w14:textId="77777777" w:rsidR="00831907" w:rsidRDefault="00831907" w:rsidP="008F72FD">
      <w:pPr>
        <w:spacing w:after="0" w:line="240" w:lineRule="auto"/>
      </w:pPr>
      <w:r w:rsidRPr="008F72FD">
        <w:t>La présente convention définit les conditions dans lesquelles l’Agglomération du Pays de l’Or met à disposition à titre gracieux des gobelets réutilisables.</w:t>
      </w:r>
    </w:p>
    <w:p w14:paraId="65304F1F" w14:textId="77777777" w:rsidR="008F72FD" w:rsidRPr="008F72FD" w:rsidRDefault="008F72FD" w:rsidP="008F72FD">
      <w:pPr>
        <w:spacing w:after="0" w:line="240" w:lineRule="auto"/>
      </w:pPr>
    </w:p>
    <w:p w14:paraId="28540EBA" w14:textId="77777777" w:rsidR="00831907" w:rsidRDefault="00831907" w:rsidP="008F72FD">
      <w:pPr>
        <w:spacing w:after="0" w:line="240" w:lineRule="auto"/>
      </w:pPr>
      <w:r w:rsidRPr="008F72FD">
        <w:t>L’Agglomération du Pays de l’Or et l’organisateur de la manifestation établissent un partenariat afin de garantir le bon usage et le retour des gobelets réutilisables mis à disposition lors de la manifestation.</w:t>
      </w:r>
    </w:p>
    <w:p w14:paraId="18980BD6" w14:textId="77777777" w:rsidR="008F72FD" w:rsidRPr="008F72FD" w:rsidRDefault="008F72FD" w:rsidP="008F72FD">
      <w:pPr>
        <w:spacing w:after="0" w:line="240" w:lineRule="auto"/>
      </w:pPr>
    </w:p>
    <w:p w14:paraId="3BC5AF7E" w14:textId="77777777" w:rsidR="00831907" w:rsidRDefault="00831907" w:rsidP="008F72FD">
      <w:pPr>
        <w:spacing w:after="0" w:line="240" w:lineRule="auto"/>
      </w:pPr>
      <w:r w:rsidRPr="008F72FD">
        <w:t xml:space="preserve">Ce partenariat vise à réduire la production de déchets sur les manifestations en évitant l’usage de la vaisselle jetable. Il s’agit de promouvoir et faciliter l’usage des gobelets réutilisables sur les manifestations du territoire et, par ce biais, sensibiliser le public à la prévention des déchets. </w:t>
      </w:r>
    </w:p>
    <w:p w14:paraId="673B45CD" w14:textId="77777777" w:rsidR="008F72FD" w:rsidRPr="008F72FD" w:rsidRDefault="008F72FD" w:rsidP="008F72FD">
      <w:pPr>
        <w:spacing w:after="0" w:line="240" w:lineRule="auto"/>
      </w:pPr>
    </w:p>
    <w:p w14:paraId="29EA37E9" w14:textId="77777777" w:rsidR="00A02EFE" w:rsidRPr="008F72FD" w:rsidRDefault="00831907" w:rsidP="008F72FD">
      <w:pPr>
        <w:spacing w:after="0" w:line="240" w:lineRule="auto"/>
      </w:pPr>
      <w:r w:rsidRPr="008F72FD">
        <w:t>Par la présente convention les parties s’engagent à respecter les conditions précisées dans les articles suivants.</w:t>
      </w:r>
    </w:p>
    <w:p w14:paraId="196FB5E5" w14:textId="77777777" w:rsidR="00D622CC" w:rsidRPr="008F72FD" w:rsidRDefault="00D622CC" w:rsidP="008F72FD">
      <w:pPr>
        <w:spacing w:after="0" w:line="240" w:lineRule="auto"/>
      </w:pPr>
    </w:p>
    <w:p w14:paraId="6DA1DA45" w14:textId="77777777" w:rsidR="00D622CC" w:rsidRPr="008F72FD" w:rsidRDefault="00831907" w:rsidP="008F72FD">
      <w:pPr>
        <w:pStyle w:val="Titre1"/>
        <w:spacing w:before="0" w:line="240" w:lineRule="auto"/>
        <w:rPr>
          <w:b/>
          <w:sz w:val="24"/>
          <w:szCs w:val="24"/>
        </w:rPr>
      </w:pPr>
      <w:r w:rsidRPr="008F72FD">
        <w:rPr>
          <w:b/>
          <w:sz w:val="24"/>
          <w:szCs w:val="24"/>
        </w:rPr>
        <w:t>Manifestation et nombre de gobelets souhaités</w:t>
      </w:r>
    </w:p>
    <w:p w14:paraId="753F7F3A" w14:textId="77777777" w:rsidR="00831907" w:rsidRPr="008F72FD" w:rsidRDefault="00831907" w:rsidP="008F72FD">
      <w:pPr>
        <w:spacing w:after="0" w:line="240" w:lineRule="auto"/>
      </w:pPr>
      <w:r w:rsidRPr="008F72FD">
        <w:t>(</w:t>
      </w:r>
      <w:proofErr w:type="gramStart"/>
      <w:r w:rsidRPr="008F72FD">
        <w:t>à</w:t>
      </w:r>
      <w:proofErr w:type="gramEnd"/>
      <w:r w:rsidRPr="008F72FD">
        <w:t xml:space="preserve"> compléter par l’emprunteur)</w:t>
      </w:r>
    </w:p>
    <w:p w14:paraId="2000BF25" w14:textId="77777777" w:rsidR="00831907" w:rsidRPr="008F72FD" w:rsidRDefault="00831907" w:rsidP="008F72FD">
      <w:pPr>
        <w:spacing w:after="0" w:line="240" w:lineRule="auto"/>
      </w:pPr>
    </w:p>
    <w:p w14:paraId="57B1B7A5" w14:textId="77777777" w:rsidR="00831907" w:rsidRPr="008F72FD" w:rsidRDefault="00831907" w:rsidP="008F72FD">
      <w:pPr>
        <w:tabs>
          <w:tab w:val="right" w:leader="dot" w:pos="9070"/>
        </w:tabs>
        <w:spacing w:after="0" w:line="240" w:lineRule="auto"/>
        <w:rPr>
          <w:lang w:eastAsia="fr-FR"/>
        </w:rPr>
      </w:pPr>
      <w:r w:rsidRPr="008F72FD">
        <w:rPr>
          <w:lang w:eastAsia="fr-FR"/>
        </w:rPr>
        <w:t xml:space="preserve">Nom de l’évènement : </w:t>
      </w:r>
      <w:r w:rsidR="000F2636" w:rsidRPr="008F72FD">
        <w:rPr>
          <w:lang w:eastAsia="fr-FR"/>
        </w:rPr>
        <w:t xml:space="preserve"> </w:t>
      </w:r>
      <w:r w:rsidRPr="008F72FD">
        <w:rPr>
          <w:lang w:eastAsia="fr-FR"/>
        </w:rPr>
        <w:tab/>
      </w:r>
    </w:p>
    <w:p w14:paraId="57DF208A" w14:textId="77777777" w:rsidR="00831907" w:rsidRPr="008F72FD" w:rsidRDefault="00831907" w:rsidP="008F72FD">
      <w:pPr>
        <w:tabs>
          <w:tab w:val="right" w:leader="dot" w:pos="3828"/>
          <w:tab w:val="right" w:leader="dot" w:pos="9070"/>
        </w:tabs>
        <w:spacing w:after="0" w:line="240" w:lineRule="auto"/>
        <w:rPr>
          <w:lang w:eastAsia="fr-FR"/>
        </w:rPr>
      </w:pPr>
      <w:r w:rsidRPr="008F72FD">
        <w:rPr>
          <w:lang w:eastAsia="fr-FR"/>
        </w:rPr>
        <w:t xml:space="preserve">Date : </w:t>
      </w:r>
      <w:r w:rsidR="000F2636" w:rsidRPr="008F72FD">
        <w:rPr>
          <w:lang w:eastAsia="fr-FR"/>
        </w:rPr>
        <w:t xml:space="preserve"> </w:t>
      </w:r>
      <w:r w:rsidRPr="008F72FD">
        <w:rPr>
          <w:lang w:eastAsia="fr-FR"/>
        </w:rPr>
        <w:tab/>
        <w:t xml:space="preserve"> Lieu :</w:t>
      </w:r>
      <w:r w:rsidR="00C30EC3" w:rsidRPr="008F72FD">
        <w:rPr>
          <w:lang w:eastAsia="fr-FR"/>
        </w:rPr>
        <w:t xml:space="preserve"> </w:t>
      </w:r>
      <w:r w:rsidRPr="008F72FD">
        <w:rPr>
          <w:lang w:eastAsia="fr-FR"/>
        </w:rPr>
        <w:tab/>
      </w:r>
    </w:p>
    <w:p w14:paraId="25F021AE" w14:textId="77777777" w:rsidR="00831907" w:rsidRPr="008F72FD" w:rsidRDefault="00831907" w:rsidP="008F72FD">
      <w:pPr>
        <w:tabs>
          <w:tab w:val="right" w:leader="dot" w:pos="9070"/>
        </w:tabs>
        <w:spacing w:after="0" w:line="240" w:lineRule="auto"/>
        <w:rPr>
          <w:lang w:eastAsia="fr-FR"/>
        </w:rPr>
      </w:pPr>
      <w:r w:rsidRPr="008F72FD">
        <w:rPr>
          <w:lang w:eastAsia="fr-FR"/>
        </w:rPr>
        <w:t>Date d’emprunt souhaitée :</w:t>
      </w:r>
      <w:r w:rsidRPr="008F72FD">
        <w:rPr>
          <w:lang w:eastAsia="fr-FR"/>
        </w:rPr>
        <w:tab/>
      </w:r>
    </w:p>
    <w:p w14:paraId="0848D7FF" w14:textId="77777777" w:rsidR="00831907" w:rsidRPr="008F72FD" w:rsidRDefault="00831907" w:rsidP="008F72FD">
      <w:pPr>
        <w:tabs>
          <w:tab w:val="right" w:leader="dot" w:pos="9070"/>
        </w:tabs>
        <w:spacing w:after="0" w:line="240" w:lineRule="auto"/>
        <w:rPr>
          <w:lang w:eastAsia="fr-FR"/>
        </w:rPr>
      </w:pPr>
      <w:r w:rsidRPr="008F72FD">
        <w:rPr>
          <w:lang w:eastAsia="fr-FR"/>
        </w:rPr>
        <w:t xml:space="preserve">Date de restitution souhaitée : </w:t>
      </w:r>
      <w:r w:rsidRPr="008F72FD">
        <w:rPr>
          <w:lang w:eastAsia="fr-FR"/>
        </w:rPr>
        <w:tab/>
      </w:r>
    </w:p>
    <w:p w14:paraId="6D93058F" w14:textId="77777777" w:rsidR="00831907" w:rsidRPr="008F72FD" w:rsidRDefault="00831907" w:rsidP="008F72FD">
      <w:pPr>
        <w:tabs>
          <w:tab w:val="right" w:leader="dot" w:pos="9070"/>
        </w:tabs>
        <w:spacing w:after="0" w:line="240" w:lineRule="auto"/>
        <w:rPr>
          <w:lang w:eastAsia="fr-FR"/>
        </w:rPr>
      </w:pPr>
      <w:r w:rsidRPr="008F72FD">
        <w:rPr>
          <w:lang w:eastAsia="fr-FR"/>
        </w:rPr>
        <w:t>Nombre de personnes attendues :</w:t>
      </w:r>
      <w:r w:rsidRPr="008F72FD">
        <w:rPr>
          <w:lang w:eastAsia="fr-FR"/>
        </w:rPr>
        <w:tab/>
      </w:r>
    </w:p>
    <w:p w14:paraId="3C493A6E" w14:textId="77777777" w:rsidR="00831907" w:rsidRPr="008F72FD" w:rsidRDefault="00831907" w:rsidP="008F72FD">
      <w:pPr>
        <w:tabs>
          <w:tab w:val="right" w:leader="dot" w:pos="9070"/>
        </w:tabs>
        <w:spacing w:after="0" w:line="240" w:lineRule="auto"/>
        <w:rPr>
          <w:lang w:eastAsia="fr-FR"/>
        </w:rPr>
      </w:pPr>
      <w:r w:rsidRPr="008F72FD">
        <w:rPr>
          <w:lang w:eastAsia="fr-FR"/>
        </w:rPr>
        <w:t>Nombre de gobelets souhaités :</w:t>
      </w:r>
      <w:r w:rsidRPr="008F72FD">
        <w:rPr>
          <w:lang w:eastAsia="fr-FR"/>
        </w:rPr>
        <w:tab/>
      </w:r>
    </w:p>
    <w:p w14:paraId="605374FC" w14:textId="77777777" w:rsidR="00831907" w:rsidRPr="008F72FD" w:rsidRDefault="00831907" w:rsidP="008F72FD">
      <w:pPr>
        <w:tabs>
          <w:tab w:val="right" w:leader="dot" w:pos="9070"/>
        </w:tabs>
        <w:spacing w:after="0" w:line="240" w:lineRule="auto"/>
        <w:rPr>
          <w:lang w:bidi="en-US"/>
        </w:rPr>
      </w:pPr>
      <w:r w:rsidRPr="008F72FD">
        <w:t>Responsable logistique :</w:t>
      </w:r>
      <w:r w:rsidR="00C30EC3" w:rsidRPr="008F72FD">
        <w:t xml:space="preserve">  </w:t>
      </w:r>
      <w:r w:rsidRPr="008F72FD">
        <w:tab/>
      </w:r>
    </w:p>
    <w:p w14:paraId="7CBBDE61" w14:textId="77777777" w:rsidR="00831907" w:rsidRPr="008F72FD" w:rsidRDefault="00831907" w:rsidP="008F72FD">
      <w:pPr>
        <w:tabs>
          <w:tab w:val="right" w:leader="dot" w:pos="4962"/>
          <w:tab w:val="right" w:leader="dot" w:pos="9070"/>
        </w:tabs>
        <w:spacing w:after="0" w:line="240" w:lineRule="auto"/>
      </w:pPr>
      <w:r w:rsidRPr="008F72FD">
        <w:t xml:space="preserve">Téléphone : </w:t>
      </w:r>
      <w:r w:rsidR="00C30EC3" w:rsidRPr="008F72FD">
        <w:t xml:space="preserve">      </w:t>
      </w:r>
      <w:r w:rsidRPr="008F72FD">
        <w:tab/>
        <w:t xml:space="preserve">Mail : </w:t>
      </w:r>
      <w:r w:rsidRPr="008F72FD">
        <w:tab/>
      </w:r>
    </w:p>
    <w:p w14:paraId="4E4F3296" w14:textId="77777777" w:rsidR="00831907" w:rsidRPr="008F72FD" w:rsidRDefault="00831907" w:rsidP="008F72FD">
      <w:pPr>
        <w:tabs>
          <w:tab w:val="right" w:leader="dot" w:pos="4962"/>
          <w:tab w:val="right" w:leader="dot" w:pos="9070"/>
        </w:tabs>
        <w:spacing w:after="0" w:line="240" w:lineRule="auto"/>
        <w:ind w:left="709"/>
      </w:pPr>
    </w:p>
    <w:p w14:paraId="4F548E5E" w14:textId="77777777" w:rsidR="00D622CC" w:rsidRPr="008F72FD" w:rsidRDefault="00D622CC" w:rsidP="008F72FD">
      <w:pPr>
        <w:spacing w:after="0" w:line="240" w:lineRule="auto"/>
        <w:jc w:val="left"/>
        <w:rPr>
          <w:rFonts w:eastAsiaTheme="majorEastAsia" w:cstheme="majorBidi"/>
          <w:b/>
          <w:caps/>
        </w:rPr>
      </w:pPr>
      <w:r w:rsidRPr="008F72FD">
        <w:rPr>
          <w:b/>
        </w:rPr>
        <w:br w:type="page"/>
      </w:r>
    </w:p>
    <w:p w14:paraId="79E678DF" w14:textId="77777777" w:rsidR="00831907" w:rsidRPr="008F72FD" w:rsidRDefault="00831907" w:rsidP="008F72FD">
      <w:pPr>
        <w:pStyle w:val="Titre1"/>
        <w:spacing w:before="0" w:line="240" w:lineRule="auto"/>
        <w:rPr>
          <w:b/>
          <w:sz w:val="24"/>
          <w:szCs w:val="24"/>
        </w:rPr>
      </w:pPr>
      <w:r w:rsidRPr="008F72FD">
        <w:rPr>
          <w:b/>
          <w:sz w:val="24"/>
          <w:szCs w:val="24"/>
        </w:rPr>
        <w:lastRenderedPageBreak/>
        <w:t>Modalités d'emprunt</w:t>
      </w:r>
    </w:p>
    <w:p w14:paraId="19B80337" w14:textId="77777777" w:rsidR="00831907" w:rsidRPr="008F72FD" w:rsidRDefault="00831907" w:rsidP="008F72FD">
      <w:pPr>
        <w:spacing w:after="0" w:line="240" w:lineRule="auto"/>
      </w:pPr>
    </w:p>
    <w:p w14:paraId="436026BA" w14:textId="77777777" w:rsidR="00831907" w:rsidRDefault="00831907" w:rsidP="008F72FD">
      <w:pPr>
        <w:spacing w:after="0" w:line="240" w:lineRule="auto"/>
        <w:rPr>
          <w:lang w:eastAsia="fr-FR"/>
        </w:rPr>
      </w:pPr>
      <w:r w:rsidRPr="008F72FD">
        <w:rPr>
          <w:lang w:eastAsia="fr-FR"/>
        </w:rPr>
        <w:t>La demande de prêt complète est adressée au moins un mois avant la date de la manifestation.</w:t>
      </w:r>
    </w:p>
    <w:p w14:paraId="074117A8" w14:textId="77777777" w:rsidR="00AC420E" w:rsidRPr="008F72FD" w:rsidRDefault="00AC420E" w:rsidP="008F72FD">
      <w:pPr>
        <w:spacing w:after="0" w:line="240" w:lineRule="auto"/>
        <w:rPr>
          <w:lang w:eastAsia="fr-FR"/>
        </w:rPr>
      </w:pPr>
    </w:p>
    <w:p w14:paraId="5ABA8DED" w14:textId="673533DD" w:rsidR="00831907" w:rsidRPr="008F72FD" w:rsidRDefault="00831907" w:rsidP="008F72FD">
      <w:pPr>
        <w:tabs>
          <w:tab w:val="right" w:leader="dot" w:pos="6804"/>
          <w:tab w:val="right" w:leader="dot" w:pos="9070"/>
        </w:tabs>
        <w:spacing w:after="0" w:line="240" w:lineRule="auto"/>
        <w:rPr>
          <w:lang w:eastAsia="fr-FR"/>
        </w:rPr>
      </w:pPr>
      <w:r w:rsidRPr="008F72FD">
        <w:rPr>
          <w:lang w:eastAsia="fr-FR"/>
        </w:rPr>
        <w:t>Pour chaque emprunt, les modalités de prêt sont définies dans la fiche de prêt présentée à l’</w:t>
      </w:r>
      <w:r w:rsidR="00CE528B" w:rsidRPr="008F72FD">
        <w:fldChar w:fldCharType="begin"/>
      </w:r>
      <w:r w:rsidR="00CE528B" w:rsidRPr="008F72FD">
        <w:instrText xml:space="preserve"> REF _Ref483292903 \h  \* MERGEFORMAT </w:instrText>
      </w:r>
      <w:r w:rsidR="00CE528B" w:rsidRPr="008F72FD">
        <w:fldChar w:fldCharType="separate"/>
      </w:r>
      <w:r w:rsidRPr="008F72FD">
        <w:t>Article 8</w:t>
      </w:r>
      <w:r w:rsidR="00CE528B" w:rsidRPr="008F72FD">
        <w:fldChar w:fldCharType="end"/>
      </w:r>
      <w:r w:rsidRPr="008F72FD">
        <w:rPr>
          <w:lang w:eastAsia="fr-FR"/>
        </w:rPr>
        <w:t xml:space="preserve"> de la présente convention. </w:t>
      </w:r>
    </w:p>
    <w:p w14:paraId="41E3AD91" w14:textId="77777777" w:rsidR="00D622CC" w:rsidRPr="008F72FD" w:rsidRDefault="00D622CC" w:rsidP="008F72FD">
      <w:pPr>
        <w:tabs>
          <w:tab w:val="right" w:leader="dot" w:pos="6804"/>
          <w:tab w:val="right" w:leader="dot" w:pos="9070"/>
        </w:tabs>
        <w:spacing w:after="0" w:line="240" w:lineRule="auto"/>
        <w:rPr>
          <w:lang w:eastAsia="fr-FR"/>
        </w:rPr>
      </w:pPr>
    </w:p>
    <w:p w14:paraId="56865FCD" w14:textId="77777777" w:rsidR="00831907" w:rsidRDefault="00831907" w:rsidP="008F72FD">
      <w:pPr>
        <w:spacing w:after="0" w:line="240" w:lineRule="auto"/>
        <w:rPr>
          <w:u w:val="single"/>
          <w:lang w:eastAsia="fr-FR"/>
        </w:rPr>
      </w:pPr>
      <w:r w:rsidRPr="008F72FD">
        <w:rPr>
          <w:u w:val="single"/>
          <w:lang w:eastAsia="fr-FR"/>
        </w:rPr>
        <w:t>Information pour l’emprunt et la restitution des gobelets :</w:t>
      </w:r>
    </w:p>
    <w:p w14:paraId="414E8978" w14:textId="77777777" w:rsidR="008F72FD" w:rsidRPr="008F72FD" w:rsidRDefault="008F72FD" w:rsidP="008F72FD">
      <w:pPr>
        <w:spacing w:after="0" w:line="240" w:lineRule="auto"/>
        <w:rPr>
          <w:u w:val="single"/>
          <w:lang w:eastAsia="fr-FR"/>
        </w:rPr>
      </w:pPr>
    </w:p>
    <w:p w14:paraId="7C162A4A" w14:textId="77777777" w:rsidR="00831907" w:rsidRPr="008F72FD" w:rsidRDefault="00831907" w:rsidP="008F72FD">
      <w:pPr>
        <w:tabs>
          <w:tab w:val="left" w:pos="1276"/>
        </w:tabs>
        <w:spacing w:after="0" w:line="240" w:lineRule="auto"/>
        <w:rPr>
          <w:lang w:eastAsia="fr-FR"/>
        </w:rPr>
      </w:pPr>
      <w:r w:rsidRPr="008F72FD">
        <w:rPr>
          <w:lang w:eastAsia="fr-FR"/>
        </w:rPr>
        <w:t xml:space="preserve">Adresse : </w:t>
      </w:r>
      <w:r w:rsidRPr="008F72FD">
        <w:rPr>
          <w:lang w:eastAsia="fr-FR"/>
        </w:rPr>
        <w:tab/>
        <w:t>Agglomération du Pays de l’Or</w:t>
      </w:r>
    </w:p>
    <w:p w14:paraId="79614B85" w14:textId="77777777" w:rsidR="00831907" w:rsidRPr="008F72FD" w:rsidRDefault="00831907" w:rsidP="008F72FD">
      <w:pPr>
        <w:tabs>
          <w:tab w:val="left" w:pos="1276"/>
        </w:tabs>
        <w:spacing w:after="0" w:line="240" w:lineRule="auto"/>
        <w:rPr>
          <w:lang w:eastAsia="fr-FR"/>
        </w:rPr>
      </w:pPr>
      <w:r w:rsidRPr="008F72FD">
        <w:rPr>
          <w:lang w:eastAsia="fr-FR"/>
        </w:rPr>
        <w:tab/>
        <w:t>Pôle Environnement et valorisation</w:t>
      </w:r>
    </w:p>
    <w:p w14:paraId="249B2A39" w14:textId="77777777" w:rsidR="00831907" w:rsidRPr="008F72FD" w:rsidRDefault="00831907" w:rsidP="008F72FD">
      <w:pPr>
        <w:tabs>
          <w:tab w:val="left" w:pos="1276"/>
          <w:tab w:val="left" w:pos="1418"/>
        </w:tabs>
        <w:spacing w:after="0" w:line="240" w:lineRule="auto"/>
        <w:rPr>
          <w:caps/>
          <w:lang w:eastAsia="fr-FR"/>
        </w:rPr>
      </w:pPr>
      <w:r w:rsidRPr="008F72FD">
        <w:rPr>
          <w:lang w:eastAsia="fr-FR"/>
        </w:rPr>
        <w:tab/>
        <w:t xml:space="preserve">Chemin des cerisiers – 34 130 </w:t>
      </w:r>
      <w:r w:rsidRPr="008F72FD">
        <w:rPr>
          <w:caps/>
          <w:lang w:eastAsia="fr-FR"/>
        </w:rPr>
        <w:t>Mudaison</w:t>
      </w:r>
    </w:p>
    <w:p w14:paraId="6FAF9EC0" w14:textId="77777777" w:rsidR="00831907" w:rsidRPr="008F72FD" w:rsidRDefault="00831907" w:rsidP="008F72FD">
      <w:pPr>
        <w:tabs>
          <w:tab w:val="left" w:pos="1276"/>
          <w:tab w:val="left" w:pos="1418"/>
        </w:tabs>
        <w:spacing w:after="0" w:line="240" w:lineRule="auto"/>
        <w:rPr>
          <w:lang w:eastAsia="fr-FR"/>
        </w:rPr>
      </w:pPr>
      <w:r w:rsidRPr="008F72FD">
        <w:rPr>
          <w:caps/>
          <w:lang w:eastAsia="fr-FR"/>
        </w:rPr>
        <w:tab/>
      </w:r>
      <w:r w:rsidRPr="008F72FD">
        <w:rPr>
          <w:lang w:eastAsia="fr-FR"/>
        </w:rPr>
        <w:t>Tél. : 04 67 91 31 11</w:t>
      </w:r>
    </w:p>
    <w:p w14:paraId="3F6A27FB" w14:textId="77777777" w:rsidR="00831907" w:rsidRPr="008F72FD" w:rsidRDefault="00831907" w:rsidP="008F72FD">
      <w:pPr>
        <w:tabs>
          <w:tab w:val="left" w:pos="1276"/>
          <w:tab w:val="left" w:pos="1418"/>
        </w:tabs>
        <w:spacing w:after="0" w:line="240" w:lineRule="auto"/>
        <w:rPr>
          <w:lang w:eastAsia="fr-FR"/>
        </w:rPr>
      </w:pPr>
      <w:r w:rsidRPr="008F72FD">
        <w:rPr>
          <w:lang w:eastAsia="fr-FR"/>
        </w:rPr>
        <w:tab/>
        <w:t>Mail : environnement@paysdelor.fr</w:t>
      </w:r>
    </w:p>
    <w:p w14:paraId="668CA851" w14:textId="77777777" w:rsidR="00831907" w:rsidRPr="008F72FD" w:rsidRDefault="00831907" w:rsidP="008F72FD">
      <w:pPr>
        <w:tabs>
          <w:tab w:val="left" w:pos="1276"/>
          <w:tab w:val="left" w:pos="1418"/>
        </w:tabs>
        <w:spacing w:after="0" w:line="240" w:lineRule="auto"/>
        <w:rPr>
          <w:lang w:eastAsia="fr-FR"/>
        </w:rPr>
      </w:pPr>
      <w:r w:rsidRPr="008F72FD">
        <w:rPr>
          <w:lang w:eastAsia="fr-FR"/>
        </w:rPr>
        <w:t>Horaires :</w:t>
      </w:r>
      <w:r w:rsidRPr="008F72FD">
        <w:rPr>
          <w:lang w:eastAsia="fr-FR"/>
        </w:rPr>
        <w:tab/>
        <w:t>du lundi au vendredi de 8h30 à 12h00 et de 13h30 à 17h00.</w:t>
      </w:r>
    </w:p>
    <w:p w14:paraId="3D2206FD" w14:textId="77777777" w:rsidR="00831907" w:rsidRPr="008F72FD" w:rsidRDefault="00831907" w:rsidP="008F72FD">
      <w:pPr>
        <w:tabs>
          <w:tab w:val="left" w:pos="1276"/>
        </w:tabs>
        <w:spacing w:after="0" w:line="240" w:lineRule="auto"/>
        <w:rPr>
          <w:b/>
          <w:bCs/>
          <w:lang w:eastAsia="fr-FR"/>
        </w:rPr>
      </w:pPr>
      <w:r w:rsidRPr="008F72FD">
        <w:rPr>
          <w:b/>
          <w:bCs/>
          <w:lang w:eastAsia="fr-FR"/>
        </w:rPr>
        <w:tab/>
        <w:t>Obligatoirement sur rendez-vous.</w:t>
      </w:r>
    </w:p>
    <w:p w14:paraId="5D72F066" w14:textId="77777777" w:rsidR="00831907" w:rsidRPr="008F72FD" w:rsidRDefault="00831907" w:rsidP="008F72FD">
      <w:pPr>
        <w:tabs>
          <w:tab w:val="left" w:pos="1276"/>
        </w:tabs>
        <w:spacing w:after="0" w:line="240" w:lineRule="auto"/>
        <w:rPr>
          <w:b/>
          <w:bCs/>
          <w:lang w:eastAsia="fr-FR"/>
        </w:rPr>
      </w:pPr>
    </w:p>
    <w:p w14:paraId="1D7D66C1" w14:textId="77777777" w:rsidR="00831907" w:rsidRPr="008F72FD" w:rsidRDefault="00831907" w:rsidP="008F72FD">
      <w:pPr>
        <w:pStyle w:val="Titre1"/>
        <w:spacing w:before="0" w:line="240" w:lineRule="auto"/>
        <w:rPr>
          <w:b/>
          <w:sz w:val="24"/>
          <w:szCs w:val="24"/>
        </w:rPr>
      </w:pPr>
      <w:r w:rsidRPr="008F72FD">
        <w:rPr>
          <w:b/>
          <w:sz w:val="24"/>
          <w:szCs w:val="24"/>
        </w:rPr>
        <w:t>Obligation de l'emprunteur</w:t>
      </w:r>
    </w:p>
    <w:p w14:paraId="6EDBAA97" w14:textId="77777777" w:rsidR="00831907" w:rsidRPr="008F72FD" w:rsidRDefault="00831907" w:rsidP="008F72FD">
      <w:pPr>
        <w:spacing w:after="0" w:line="240" w:lineRule="auto"/>
      </w:pPr>
    </w:p>
    <w:p w14:paraId="7C2C50B2" w14:textId="77777777" w:rsidR="00831907" w:rsidRDefault="00831907" w:rsidP="008F72FD">
      <w:pPr>
        <w:spacing w:after="0" w:line="240" w:lineRule="auto"/>
        <w:rPr>
          <w:lang w:eastAsia="fr-FR"/>
        </w:rPr>
      </w:pPr>
      <w:r w:rsidRPr="008F72FD">
        <w:rPr>
          <w:lang w:eastAsia="fr-FR"/>
        </w:rPr>
        <w:t>L'emprunteur s'engage à n'utiliser les gobelets mis à disposition que dans le cadre de la manifestation identifiée dans la présente convention.</w:t>
      </w:r>
    </w:p>
    <w:p w14:paraId="0155EAA8" w14:textId="77777777" w:rsidR="008F72FD" w:rsidRPr="008F72FD" w:rsidRDefault="008F72FD" w:rsidP="008F72FD">
      <w:pPr>
        <w:spacing w:after="0" w:line="240" w:lineRule="auto"/>
        <w:rPr>
          <w:lang w:eastAsia="fr-FR"/>
        </w:rPr>
      </w:pPr>
    </w:p>
    <w:p w14:paraId="4B20C7F5" w14:textId="77777777" w:rsidR="00831907" w:rsidRDefault="00831907" w:rsidP="008F72FD">
      <w:pPr>
        <w:spacing w:after="0" w:line="240" w:lineRule="auto"/>
        <w:rPr>
          <w:lang w:eastAsia="fr-FR"/>
        </w:rPr>
      </w:pPr>
      <w:r w:rsidRPr="008F72FD">
        <w:rPr>
          <w:lang w:eastAsia="fr-FR"/>
        </w:rPr>
        <w:t>L’emprunteur s’engage :</w:t>
      </w:r>
    </w:p>
    <w:p w14:paraId="268A7037" w14:textId="77777777" w:rsidR="008F72FD" w:rsidRPr="008F72FD" w:rsidRDefault="008F72FD" w:rsidP="008F72FD">
      <w:pPr>
        <w:spacing w:after="0" w:line="240" w:lineRule="auto"/>
        <w:rPr>
          <w:lang w:eastAsia="fr-FR"/>
        </w:rPr>
      </w:pPr>
    </w:p>
    <w:p w14:paraId="43A3CF41" w14:textId="150175C2" w:rsidR="00831907" w:rsidRPr="008F72FD" w:rsidRDefault="008F72FD" w:rsidP="008F72FD">
      <w:pPr>
        <w:pStyle w:val="Paragraphedeliste"/>
        <w:numPr>
          <w:ilvl w:val="0"/>
          <w:numId w:val="13"/>
        </w:numPr>
        <w:spacing w:after="0" w:line="240" w:lineRule="auto"/>
        <w:contextualSpacing w:val="0"/>
        <w:rPr>
          <w:lang w:eastAsia="fr-FR"/>
        </w:rPr>
      </w:pPr>
      <w:r w:rsidRPr="008F72FD">
        <w:rPr>
          <w:lang w:eastAsia="fr-FR"/>
        </w:rPr>
        <w:t>Avant</w:t>
      </w:r>
      <w:r w:rsidR="00831907" w:rsidRPr="008F72FD">
        <w:rPr>
          <w:lang w:eastAsia="fr-FR"/>
        </w:rPr>
        <w:t xml:space="preserve"> la manifestation à sensibiliser les personnes en charge de la gestion des gobelets à la prévention des déchets et aux contraintes techniques liées à la gestion de ce stock ;</w:t>
      </w:r>
    </w:p>
    <w:p w14:paraId="7E52D4DD" w14:textId="08053D1F" w:rsidR="00831907" w:rsidRPr="008F72FD" w:rsidRDefault="008F72FD" w:rsidP="008F72FD">
      <w:pPr>
        <w:pStyle w:val="Paragraphedeliste"/>
        <w:numPr>
          <w:ilvl w:val="0"/>
          <w:numId w:val="13"/>
        </w:numPr>
        <w:spacing w:after="0" w:line="240" w:lineRule="auto"/>
        <w:contextualSpacing w:val="0"/>
        <w:rPr>
          <w:lang w:eastAsia="fr-FR"/>
        </w:rPr>
      </w:pPr>
      <w:r w:rsidRPr="008F72FD">
        <w:rPr>
          <w:lang w:eastAsia="fr-FR"/>
        </w:rPr>
        <w:t>Lors</w:t>
      </w:r>
      <w:r w:rsidR="00831907" w:rsidRPr="008F72FD">
        <w:rPr>
          <w:lang w:eastAsia="fr-FR"/>
        </w:rPr>
        <w:t xml:space="preserve"> de la manifestation, à communiquer et informer le public sur l’utilisation des gobelets utilisables.</w:t>
      </w:r>
    </w:p>
    <w:p w14:paraId="2E841A2A" w14:textId="77777777" w:rsidR="008F72FD" w:rsidRDefault="008F72FD" w:rsidP="008F72FD">
      <w:pPr>
        <w:spacing w:after="0" w:line="240" w:lineRule="auto"/>
        <w:rPr>
          <w:lang w:eastAsia="fr-FR"/>
        </w:rPr>
      </w:pPr>
    </w:p>
    <w:p w14:paraId="4ABD23D6" w14:textId="4C06735A" w:rsidR="00831907" w:rsidRDefault="00831907" w:rsidP="008F72FD">
      <w:pPr>
        <w:spacing w:after="0" w:line="240" w:lineRule="auto"/>
        <w:rPr>
          <w:lang w:eastAsia="fr-FR"/>
        </w:rPr>
      </w:pPr>
      <w:r w:rsidRPr="008F72FD">
        <w:rPr>
          <w:lang w:eastAsia="fr-FR"/>
        </w:rPr>
        <w:t>A la date d’emprunt, l’emprunteur remet un chèque de caution (non encai</w:t>
      </w:r>
      <w:r w:rsidR="008D02B7" w:rsidRPr="008F72FD">
        <w:rPr>
          <w:lang w:eastAsia="fr-FR"/>
        </w:rPr>
        <w:t>ssé), à l’ordre de la Régie des recettes</w:t>
      </w:r>
      <w:r w:rsidRPr="008F72FD">
        <w:rPr>
          <w:lang w:eastAsia="fr-FR"/>
        </w:rPr>
        <w:t>, s’élevant à 1,00 € par gobelet.</w:t>
      </w:r>
    </w:p>
    <w:p w14:paraId="3934455C" w14:textId="77777777" w:rsidR="008F72FD" w:rsidRPr="008F72FD" w:rsidRDefault="008F72FD" w:rsidP="008F72FD">
      <w:pPr>
        <w:spacing w:after="0" w:line="240" w:lineRule="auto"/>
        <w:rPr>
          <w:lang w:eastAsia="fr-FR"/>
        </w:rPr>
      </w:pPr>
    </w:p>
    <w:p w14:paraId="5514A4D4" w14:textId="77777777" w:rsidR="00831907" w:rsidRDefault="00831907" w:rsidP="008F72FD">
      <w:pPr>
        <w:spacing w:after="0" w:line="240" w:lineRule="auto"/>
        <w:rPr>
          <w:lang w:eastAsia="fr-FR"/>
        </w:rPr>
      </w:pPr>
      <w:r w:rsidRPr="008F72FD">
        <w:rPr>
          <w:lang w:eastAsia="fr-FR"/>
        </w:rPr>
        <w:t>À compter de la date d’emprunt des gobelets, l'emprunteur est responsable de l’hygiène, la propreté et des dégradations subies, à l'exception de celles résultants d'une usure normale. L'emprunteur s'engage alors à transporter les gobelets (quantité définie dans la fiche de prêt), ne pas les détériorer et les retourner dans leur conditionnement initial.</w:t>
      </w:r>
    </w:p>
    <w:p w14:paraId="656CAEF0" w14:textId="77777777" w:rsidR="008F72FD" w:rsidRPr="008F72FD" w:rsidRDefault="008F72FD" w:rsidP="008F72FD">
      <w:pPr>
        <w:spacing w:after="0" w:line="240" w:lineRule="auto"/>
        <w:rPr>
          <w:lang w:eastAsia="fr-FR"/>
        </w:rPr>
      </w:pPr>
    </w:p>
    <w:p w14:paraId="14043BED" w14:textId="77777777" w:rsidR="00831907" w:rsidRDefault="00831907" w:rsidP="008F72FD">
      <w:pPr>
        <w:spacing w:after="0" w:line="240" w:lineRule="auto"/>
        <w:rPr>
          <w:lang w:eastAsia="fr-FR"/>
        </w:rPr>
      </w:pPr>
      <w:r w:rsidRPr="008F72FD">
        <w:rPr>
          <w:lang w:eastAsia="fr-FR"/>
        </w:rPr>
        <w:t>Lors de l'utilisation, les gobelets propres et sales ne doivent pas être mélangés.</w:t>
      </w:r>
    </w:p>
    <w:p w14:paraId="704073AC" w14:textId="77777777" w:rsidR="008F72FD" w:rsidRPr="008F72FD" w:rsidRDefault="008F72FD" w:rsidP="008F72FD">
      <w:pPr>
        <w:spacing w:after="0" w:line="240" w:lineRule="auto"/>
        <w:rPr>
          <w:lang w:eastAsia="fr-FR"/>
        </w:rPr>
      </w:pPr>
    </w:p>
    <w:p w14:paraId="3B598AC2" w14:textId="77777777" w:rsidR="008F72FD" w:rsidRDefault="00831907" w:rsidP="008F72FD">
      <w:pPr>
        <w:spacing w:after="0" w:line="240" w:lineRule="auto"/>
        <w:rPr>
          <w:lang w:eastAsia="fr-FR"/>
        </w:rPr>
      </w:pPr>
      <w:r w:rsidRPr="008F72FD">
        <w:rPr>
          <w:lang w:eastAsia="fr-FR"/>
        </w:rPr>
        <w:t xml:space="preserve">Pour la restitution, les gobelets qui auront été utilisés sont restitués vides (vides de tout liquide et absence de déchets tels de mégots, serviettes et mouchoirs en papier, restes alimentaires, …) et sales. </w:t>
      </w:r>
    </w:p>
    <w:p w14:paraId="5B771783" w14:textId="77777777" w:rsidR="008F72FD" w:rsidRDefault="008F72FD" w:rsidP="008F72FD">
      <w:pPr>
        <w:spacing w:after="0" w:line="240" w:lineRule="auto"/>
        <w:rPr>
          <w:lang w:eastAsia="fr-FR"/>
        </w:rPr>
      </w:pPr>
    </w:p>
    <w:p w14:paraId="017B9D96" w14:textId="752D071F" w:rsidR="00831907" w:rsidRDefault="00831907" w:rsidP="008F72FD">
      <w:pPr>
        <w:spacing w:after="0" w:line="240" w:lineRule="auto"/>
        <w:rPr>
          <w:lang w:eastAsia="fr-FR"/>
        </w:rPr>
      </w:pPr>
      <w:r w:rsidRPr="008F72FD">
        <w:rPr>
          <w:lang w:eastAsia="fr-FR"/>
        </w:rPr>
        <w:t>L’Agglomération du Pays de l’Or procède alors au lavage, prestation réalisée à titre gracieux.</w:t>
      </w:r>
    </w:p>
    <w:p w14:paraId="2F687776" w14:textId="77777777" w:rsidR="008F72FD" w:rsidRPr="008F72FD" w:rsidRDefault="008F72FD" w:rsidP="008F72FD">
      <w:pPr>
        <w:spacing w:after="0" w:line="240" w:lineRule="auto"/>
        <w:rPr>
          <w:lang w:eastAsia="fr-FR"/>
        </w:rPr>
      </w:pPr>
    </w:p>
    <w:p w14:paraId="1AE35263" w14:textId="77777777" w:rsidR="008F72FD" w:rsidRDefault="00831907" w:rsidP="008F72FD">
      <w:pPr>
        <w:spacing w:after="0" w:line="240" w:lineRule="auto"/>
        <w:rPr>
          <w:lang w:eastAsia="fr-FR"/>
        </w:rPr>
      </w:pPr>
      <w:r w:rsidRPr="008F72FD">
        <w:rPr>
          <w:lang w:eastAsia="fr-FR"/>
        </w:rPr>
        <w:t xml:space="preserve">Lors de la restitution, l’organisateur est tenu de rembourser les gobelets non restitués ou endommagés. </w:t>
      </w:r>
    </w:p>
    <w:p w14:paraId="28EA02AE" w14:textId="77777777" w:rsidR="008F72FD" w:rsidRDefault="008F72FD" w:rsidP="008F72FD">
      <w:pPr>
        <w:spacing w:after="0" w:line="240" w:lineRule="auto"/>
        <w:rPr>
          <w:lang w:eastAsia="fr-FR"/>
        </w:rPr>
      </w:pPr>
    </w:p>
    <w:p w14:paraId="7E593697" w14:textId="1DDC565D" w:rsidR="00831907" w:rsidRDefault="00831907" w:rsidP="008F72FD">
      <w:pPr>
        <w:spacing w:after="0" w:line="240" w:lineRule="auto"/>
        <w:rPr>
          <w:lang w:eastAsia="fr-FR"/>
        </w:rPr>
      </w:pPr>
      <w:r w:rsidRPr="008F72FD">
        <w:rPr>
          <w:lang w:eastAsia="fr-FR"/>
        </w:rPr>
        <w:t>Le tarif en vigueur est de 1,00 € par gobelet, payable sur place par chèque uniquement (à l’ordre d</w:t>
      </w:r>
      <w:r w:rsidR="007D1368" w:rsidRPr="008F72FD">
        <w:rPr>
          <w:lang w:eastAsia="fr-FR"/>
        </w:rPr>
        <w:t>e Régie de recettes</w:t>
      </w:r>
      <w:r w:rsidRPr="008F72FD">
        <w:rPr>
          <w:lang w:eastAsia="fr-FR"/>
        </w:rPr>
        <w:t>).</w:t>
      </w:r>
    </w:p>
    <w:p w14:paraId="1F6E5CB8" w14:textId="77777777" w:rsidR="008F72FD" w:rsidRPr="008F72FD" w:rsidRDefault="008F72FD" w:rsidP="008F72FD">
      <w:pPr>
        <w:spacing w:after="0" w:line="240" w:lineRule="auto"/>
        <w:rPr>
          <w:lang w:eastAsia="fr-FR"/>
        </w:rPr>
      </w:pPr>
    </w:p>
    <w:p w14:paraId="3F903A6A" w14:textId="77777777" w:rsidR="00831907" w:rsidRPr="008F72FD" w:rsidRDefault="00831907" w:rsidP="008F72FD">
      <w:pPr>
        <w:spacing w:after="0" w:line="240" w:lineRule="auto"/>
        <w:rPr>
          <w:lang w:eastAsia="fr-FR"/>
        </w:rPr>
      </w:pPr>
      <w:r w:rsidRPr="008F72FD">
        <w:rPr>
          <w:lang w:eastAsia="fr-FR"/>
        </w:rPr>
        <w:t>L’Agglomération du Pays de l’Or s’engage à retourner le chèque de caution dès le paiement du règlement de la facture par l’organisateur.</w:t>
      </w:r>
    </w:p>
    <w:p w14:paraId="1B1DC7C1" w14:textId="77777777" w:rsidR="00831907" w:rsidRDefault="00831907" w:rsidP="008F72FD">
      <w:pPr>
        <w:spacing w:after="0" w:line="240" w:lineRule="auto"/>
        <w:rPr>
          <w:lang w:bidi="en-US"/>
        </w:rPr>
      </w:pPr>
    </w:p>
    <w:p w14:paraId="0BA63CAE" w14:textId="77777777" w:rsidR="008F72FD" w:rsidRDefault="008F72FD" w:rsidP="008F72FD">
      <w:pPr>
        <w:spacing w:after="0" w:line="240" w:lineRule="auto"/>
        <w:rPr>
          <w:lang w:bidi="en-US"/>
        </w:rPr>
      </w:pPr>
    </w:p>
    <w:p w14:paraId="5E555164" w14:textId="77777777" w:rsidR="008F72FD" w:rsidRDefault="008F72FD" w:rsidP="008F72FD">
      <w:pPr>
        <w:spacing w:after="0" w:line="240" w:lineRule="auto"/>
        <w:rPr>
          <w:lang w:bidi="en-US"/>
        </w:rPr>
      </w:pPr>
    </w:p>
    <w:p w14:paraId="15A0590F" w14:textId="77777777" w:rsidR="008F72FD" w:rsidRPr="008F72FD" w:rsidRDefault="008F72FD" w:rsidP="008F72FD">
      <w:pPr>
        <w:spacing w:after="0" w:line="240" w:lineRule="auto"/>
        <w:rPr>
          <w:lang w:bidi="en-US"/>
        </w:rPr>
      </w:pPr>
    </w:p>
    <w:p w14:paraId="60850962" w14:textId="77777777" w:rsidR="00831907" w:rsidRPr="008F72FD" w:rsidRDefault="00831907" w:rsidP="008F72FD">
      <w:pPr>
        <w:pStyle w:val="Titre1"/>
        <w:spacing w:before="0" w:line="240" w:lineRule="auto"/>
        <w:rPr>
          <w:b/>
          <w:sz w:val="24"/>
          <w:szCs w:val="24"/>
        </w:rPr>
      </w:pPr>
      <w:r w:rsidRPr="008F72FD">
        <w:rPr>
          <w:b/>
          <w:sz w:val="24"/>
          <w:szCs w:val="24"/>
        </w:rPr>
        <w:lastRenderedPageBreak/>
        <w:t xml:space="preserve">Article </w:t>
      </w:r>
      <w:r w:rsidR="009515EA" w:rsidRPr="008F72FD">
        <w:rPr>
          <w:b/>
          <w:sz w:val="24"/>
          <w:szCs w:val="24"/>
        </w:rPr>
        <w:fldChar w:fldCharType="begin"/>
      </w:r>
      <w:r w:rsidRPr="008F72FD">
        <w:rPr>
          <w:b/>
          <w:sz w:val="24"/>
          <w:szCs w:val="24"/>
        </w:rPr>
        <w:instrText xml:space="preserve"> SEQ Article \* ARABIC </w:instrText>
      </w:r>
      <w:r w:rsidR="009515EA" w:rsidRPr="008F72FD">
        <w:rPr>
          <w:b/>
          <w:sz w:val="24"/>
          <w:szCs w:val="24"/>
        </w:rPr>
        <w:fldChar w:fldCharType="separate"/>
      </w:r>
      <w:r w:rsidRPr="008F72FD">
        <w:rPr>
          <w:b/>
          <w:sz w:val="24"/>
          <w:szCs w:val="24"/>
        </w:rPr>
        <w:t>6</w:t>
      </w:r>
      <w:r w:rsidR="009515EA" w:rsidRPr="008F72FD">
        <w:rPr>
          <w:b/>
          <w:sz w:val="24"/>
          <w:szCs w:val="24"/>
        </w:rPr>
        <w:fldChar w:fldCharType="end"/>
      </w:r>
      <w:r w:rsidRPr="008F72FD">
        <w:rPr>
          <w:b/>
          <w:sz w:val="24"/>
          <w:szCs w:val="24"/>
        </w:rPr>
        <w:t xml:space="preserve"> – Distribution des gobelets lors de la manifestation </w:t>
      </w:r>
    </w:p>
    <w:p w14:paraId="3EFE61F8" w14:textId="77777777" w:rsidR="008F72FD" w:rsidRDefault="008F72FD" w:rsidP="008F72FD">
      <w:pPr>
        <w:spacing w:after="0" w:line="240" w:lineRule="auto"/>
        <w:rPr>
          <w:lang w:eastAsia="fr-FR"/>
        </w:rPr>
      </w:pPr>
    </w:p>
    <w:p w14:paraId="6AC5DF5F" w14:textId="67E7B457" w:rsidR="00831907" w:rsidRDefault="00831907" w:rsidP="008F72FD">
      <w:pPr>
        <w:spacing w:after="0" w:line="240" w:lineRule="auto"/>
        <w:rPr>
          <w:lang w:eastAsia="fr-FR"/>
        </w:rPr>
      </w:pPr>
      <w:r w:rsidRPr="008F72FD">
        <w:rPr>
          <w:lang w:eastAsia="fr-FR"/>
        </w:rPr>
        <w:t>Pour garantir le retour des gobelets, le partenaire est libre de mettre en place le dispositif qu’il jugera le plus adapté compte tenu des caractéristiques de la manifestation qu’il organise. L’Agglomération du Pays de l’Or peut apporter son conseil organisationnel sur ce point.</w:t>
      </w:r>
    </w:p>
    <w:p w14:paraId="6D55A78C" w14:textId="77777777" w:rsidR="008F72FD" w:rsidRPr="008F72FD" w:rsidRDefault="008F72FD" w:rsidP="008F72FD">
      <w:pPr>
        <w:spacing w:after="0" w:line="240" w:lineRule="auto"/>
        <w:rPr>
          <w:lang w:eastAsia="fr-FR"/>
        </w:rPr>
      </w:pPr>
    </w:p>
    <w:p w14:paraId="4417397F" w14:textId="77777777" w:rsidR="00831907" w:rsidRPr="008F72FD" w:rsidRDefault="00831907" w:rsidP="008F72FD">
      <w:pPr>
        <w:spacing w:after="0" w:line="240" w:lineRule="auto"/>
        <w:rPr>
          <w:lang w:eastAsia="fr-FR"/>
        </w:rPr>
      </w:pPr>
      <w:r w:rsidRPr="008F72FD">
        <w:rPr>
          <w:lang w:eastAsia="fr-FR"/>
        </w:rPr>
        <w:t>Toutefois, l’Agglomération du Pays de l’Or préconise de mettre en place un système de consigne à 1€ qui responsabilise les participants et permet de financer le rachat des gobelets non restitués.</w:t>
      </w:r>
    </w:p>
    <w:p w14:paraId="4A058BE3" w14:textId="77777777" w:rsidR="00831907" w:rsidRPr="008F72FD" w:rsidRDefault="00831907" w:rsidP="008F72FD">
      <w:pPr>
        <w:spacing w:after="0" w:line="240" w:lineRule="auto"/>
        <w:rPr>
          <w:lang w:eastAsia="fr-FR"/>
        </w:rPr>
      </w:pPr>
    </w:p>
    <w:p w14:paraId="51D459A2" w14:textId="77777777" w:rsidR="00831907" w:rsidRPr="008F72FD" w:rsidRDefault="00831907" w:rsidP="008F72FD">
      <w:pPr>
        <w:pStyle w:val="Titre1"/>
        <w:spacing w:before="0" w:line="240" w:lineRule="auto"/>
        <w:rPr>
          <w:b/>
          <w:sz w:val="24"/>
          <w:szCs w:val="24"/>
        </w:rPr>
      </w:pPr>
      <w:r w:rsidRPr="008F72FD">
        <w:rPr>
          <w:b/>
          <w:sz w:val="24"/>
          <w:szCs w:val="24"/>
        </w:rPr>
        <w:t xml:space="preserve">Article </w:t>
      </w:r>
      <w:r w:rsidR="009515EA" w:rsidRPr="008F72FD">
        <w:rPr>
          <w:b/>
          <w:sz w:val="24"/>
          <w:szCs w:val="24"/>
        </w:rPr>
        <w:fldChar w:fldCharType="begin"/>
      </w:r>
      <w:r w:rsidRPr="008F72FD">
        <w:rPr>
          <w:b/>
          <w:sz w:val="24"/>
          <w:szCs w:val="24"/>
        </w:rPr>
        <w:instrText xml:space="preserve"> SEQ Article \* ARABIC </w:instrText>
      </w:r>
      <w:r w:rsidR="009515EA" w:rsidRPr="008F72FD">
        <w:rPr>
          <w:b/>
          <w:sz w:val="24"/>
          <w:szCs w:val="24"/>
        </w:rPr>
        <w:fldChar w:fldCharType="separate"/>
      </w:r>
      <w:r w:rsidRPr="008F72FD">
        <w:rPr>
          <w:b/>
          <w:sz w:val="24"/>
          <w:szCs w:val="24"/>
        </w:rPr>
        <w:t>7</w:t>
      </w:r>
      <w:r w:rsidR="009515EA" w:rsidRPr="008F72FD">
        <w:rPr>
          <w:b/>
          <w:sz w:val="24"/>
          <w:szCs w:val="24"/>
        </w:rPr>
        <w:fldChar w:fldCharType="end"/>
      </w:r>
      <w:r w:rsidRPr="008F72FD">
        <w:rPr>
          <w:b/>
          <w:sz w:val="24"/>
          <w:szCs w:val="24"/>
        </w:rPr>
        <w:t xml:space="preserve"> – Modification</w:t>
      </w:r>
    </w:p>
    <w:p w14:paraId="5A7F7158" w14:textId="77777777" w:rsidR="00831907" w:rsidRPr="008F72FD" w:rsidRDefault="00831907" w:rsidP="008F72FD">
      <w:pPr>
        <w:spacing w:after="0" w:line="240" w:lineRule="auto"/>
      </w:pPr>
    </w:p>
    <w:p w14:paraId="662C2079" w14:textId="77777777" w:rsidR="00831907" w:rsidRPr="008F72FD" w:rsidRDefault="00831907" w:rsidP="008F72FD">
      <w:pPr>
        <w:spacing w:after="0" w:line="240" w:lineRule="auto"/>
        <w:rPr>
          <w:lang w:eastAsia="fr-FR"/>
        </w:rPr>
      </w:pPr>
      <w:r w:rsidRPr="008F72FD">
        <w:rPr>
          <w:lang w:eastAsia="fr-FR"/>
        </w:rPr>
        <w:t>Toute modification de la présente convention fera l'objet d'un avenant entre les parties.</w:t>
      </w:r>
    </w:p>
    <w:p w14:paraId="45E6A430" w14:textId="77777777" w:rsidR="00831907" w:rsidRPr="008F72FD" w:rsidRDefault="00831907" w:rsidP="008F72FD">
      <w:pPr>
        <w:spacing w:after="0" w:line="240" w:lineRule="auto"/>
        <w:rPr>
          <w:lang w:eastAsia="fr-FR"/>
        </w:rPr>
      </w:pPr>
    </w:p>
    <w:p w14:paraId="3C35A44C" w14:textId="77777777" w:rsidR="00831907" w:rsidRPr="008F72FD" w:rsidRDefault="00831907" w:rsidP="008F72FD">
      <w:pPr>
        <w:pStyle w:val="Titre1"/>
        <w:spacing w:before="0" w:line="240" w:lineRule="auto"/>
        <w:rPr>
          <w:b/>
          <w:sz w:val="24"/>
          <w:szCs w:val="24"/>
        </w:rPr>
      </w:pPr>
      <w:bookmarkStart w:id="0" w:name="_Ref483292903"/>
      <w:r w:rsidRPr="008F72FD">
        <w:rPr>
          <w:b/>
          <w:sz w:val="24"/>
          <w:szCs w:val="24"/>
        </w:rPr>
        <w:t xml:space="preserve">Article </w:t>
      </w:r>
      <w:r w:rsidR="009515EA" w:rsidRPr="008F72FD">
        <w:rPr>
          <w:b/>
          <w:sz w:val="24"/>
          <w:szCs w:val="24"/>
        </w:rPr>
        <w:fldChar w:fldCharType="begin"/>
      </w:r>
      <w:r w:rsidRPr="008F72FD">
        <w:rPr>
          <w:b/>
          <w:sz w:val="24"/>
          <w:szCs w:val="24"/>
        </w:rPr>
        <w:instrText xml:space="preserve"> SEQ Article \* ARABIC </w:instrText>
      </w:r>
      <w:r w:rsidR="009515EA" w:rsidRPr="008F72FD">
        <w:rPr>
          <w:b/>
          <w:sz w:val="24"/>
          <w:szCs w:val="24"/>
        </w:rPr>
        <w:fldChar w:fldCharType="separate"/>
      </w:r>
      <w:r w:rsidRPr="008F72FD">
        <w:rPr>
          <w:b/>
          <w:sz w:val="24"/>
          <w:szCs w:val="24"/>
        </w:rPr>
        <w:t>8</w:t>
      </w:r>
      <w:r w:rsidR="009515EA" w:rsidRPr="008F72FD">
        <w:rPr>
          <w:b/>
          <w:sz w:val="24"/>
          <w:szCs w:val="24"/>
        </w:rPr>
        <w:fldChar w:fldCharType="end"/>
      </w:r>
      <w:bookmarkEnd w:id="0"/>
      <w:r w:rsidRPr="008F72FD">
        <w:rPr>
          <w:b/>
          <w:sz w:val="24"/>
          <w:szCs w:val="24"/>
        </w:rPr>
        <w:t xml:space="preserve"> – Fiche de prêt</w:t>
      </w:r>
    </w:p>
    <w:p w14:paraId="70ECCFCC" w14:textId="77777777" w:rsidR="00831907" w:rsidRPr="008F72FD" w:rsidRDefault="00831907" w:rsidP="008F72FD">
      <w:pPr>
        <w:spacing w:after="0" w:line="240" w:lineRule="auto"/>
      </w:pPr>
    </w:p>
    <w:p w14:paraId="47ECBD4B" w14:textId="77777777" w:rsidR="00831907" w:rsidRDefault="00831907" w:rsidP="008F72FD">
      <w:pPr>
        <w:spacing w:after="0" w:line="240" w:lineRule="auto"/>
      </w:pPr>
      <w:r w:rsidRPr="008F72FD">
        <w:t>(</w:t>
      </w:r>
      <w:proofErr w:type="gramStart"/>
      <w:r w:rsidRPr="008F72FD">
        <w:t>à</w:t>
      </w:r>
      <w:proofErr w:type="gramEnd"/>
      <w:r w:rsidRPr="008F72FD">
        <w:t xml:space="preserve"> compléter à la date d’emprunt et à la date de restitution des gobelets)</w:t>
      </w:r>
    </w:p>
    <w:p w14:paraId="2F70E2C5" w14:textId="77777777" w:rsidR="008F72FD" w:rsidRPr="008F72FD" w:rsidRDefault="008F72FD" w:rsidP="008F72FD">
      <w:pPr>
        <w:spacing w:after="0" w:line="240" w:lineRule="auto"/>
      </w:pPr>
    </w:p>
    <w:tbl>
      <w:tblPr>
        <w:tblStyle w:val="Grilledutableau"/>
        <w:tblW w:w="10485" w:type="dxa"/>
        <w:jc w:val="center"/>
        <w:tblLook w:val="04A0" w:firstRow="1" w:lastRow="0" w:firstColumn="1" w:lastColumn="0" w:noHBand="0" w:noVBand="1"/>
      </w:tblPr>
      <w:tblGrid>
        <w:gridCol w:w="2735"/>
        <w:gridCol w:w="3647"/>
        <w:gridCol w:w="4103"/>
      </w:tblGrid>
      <w:tr w:rsidR="00831907" w:rsidRPr="008F72FD" w14:paraId="28CA9088" w14:textId="77777777" w:rsidTr="008F72FD">
        <w:trPr>
          <w:trHeight w:val="250"/>
          <w:jc w:val="center"/>
        </w:trPr>
        <w:tc>
          <w:tcPr>
            <w:tcW w:w="2735" w:type="dxa"/>
            <w:tcBorders>
              <w:top w:val="nil"/>
              <w:left w:val="nil"/>
              <w:bottom w:val="single" w:sz="4" w:space="0" w:color="auto"/>
              <w:right w:val="single" w:sz="4" w:space="0" w:color="auto"/>
            </w:tcBorders>
            <w:vAlign w:val="center"/>
          </w:tcPr>
          <w:p w14:paraId="6026CD92" w14:textId="77777777" w:rsidR="00831907" w:rsidRPr="008F72FD" w:rsidRDefault="00831907" w:rsidP="008F72FD"/>
        </w:tc>
        <w:tc>
          <w:tcPr>
            <w:tcW w:w="3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94663" w14:textId="77777777" w:rsidR="00831907" w:rsidRPr="008F72FD" w:rsidRDefault="00831907" w:rsidP="008F72FD">
            <w:pPr>
              <w:jc w:val="center"/>
              <w:rPr>
                <w:b/>
              </w:rPr>
            </w:pPr>
            <w:r w:rsidRPr="008F72FD">
              <w:rPr>
                <w:b/>
              </w:rPr>
              <w:t>Emprunt</w:t>
            </w:r>
          </w:p>
        </w:tc>
        <w:tc>
          <w:tcPr>
            <w:tcW w:w="41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FE1078" w14:textId="77777777" w:rsidR="00831907" w:rsidRPr="008F72FD" w:rsidRDefault="00831907" w:rsidP="008F72FD">
            <w:pPr>
              <w:jc w:val="center"/>
              <w:rPr>
                <w:b/>
              </w:rPr>
            </w:pPr>
            <w:r w:rsidRPr="008F72FD">
              <w:rPr>
                <w:b/>
              </w:rPr>
              <w:t>Restitution</w:t>
            </w:r>
          </w:p>
        </w:tc>
      </w:tr>
      <w:tr w:rsidR="00831907" w:rsidRPr="008F72FD" w14:paraId="0A700F1D" w14:textId="77777777" w:rsidTr="008F72FD">
        <w:trPr>
          <w:trHeight w:val="250"/>
          <w:jc w:val="center"/>
        </w:trPr>
        <w:tc>
          <w:tcPr>
            <w:tcW w:w="2735" w:type="dxa"/>
            <w:tcBorders>
              <w:top w:val="single" w:sz="4" w:space="0" w:color="auto"/>
              <w:left w:val="single" w:sz="4" w:space="0" w:color="auto"/>
              <w:bottom w:val="single" w:sz="4" w:space="0" w:color="auto"/>
              <w:right w:val="single" w:sz="4" w:space="0" w:color="auto"/>
            </w:tcBorders>
            <w:vAlign w:val="center"/>
            <w:hideMark/>
          </w:tcPr>
          <w:p w14:paraId="7E176913" w14:textId="77777777" w:rsidR="00831907" w:rsidRPr="008F72FD" w:rsidRDefault="00831907" w:rsidP="008F72FD">
            <w:r w:rsidRPr="008F72FD">
              <w:t>Dates prévisionnelles</w:t>
            </w:r>
          </w:p>
        </w:tc>
        <w:tc>
          <w:tcPr>
            <w:tcW w:w="3647" w:type="dxa"/>
            <w:tcBorders>
              <w:top w:val="single" w:sz="4" w:space="0" w:color="auto"/>
              <w:left w:val="single" w:sz="4" w:space="0" w:color="auto"/>
              <w:bottom w:val="single" w:sz="4" w:space="0" w:color="auto"/>
              <w:right w:val="single" w:sz="4" w:space="0" w:color="auto"/>
            </w:tcBorders>
            <w:vAlign w:val="center"/>
          </w:tcPr>
          <w:p w14:paraId="6326FC88" w14:textId="77777777" w:rsidR="00831907" w:rsidRPr="008F72FD" w:rsidRDefault="00831907" w:rsidP="008F72FD"/>
        </w:tc>
        <w:tc>
          <w:tcPr>
            <w:tcW w:w="4102" w:type="dxa"/>
            <w:tcBorders>
              <w:top w:val="single" w:sz="4" w:space="0" w:color="auto"/>
              <w:left w:val="single" w:sz="4" w:space="0" w:color="auto"/>
              <w:bottom w:val="single" w:sz="4" w:space="0" w:color="auto"/>
              <w:right w:val="single" w:sz="4" w:space="0" w:color="auto"/>
            </w:tcBorders>
            <w:vAlign w:val="center"/>
          </w:tcPr>
          <w:p w14:paraId="69B2C658" w14:textId="77777777" w:rsidR="00831907" w:rsidRPr="008F72FD" w:rsidRDefault="00831907" w:rsidP="008F72FD"/>
        </w:tc>
      </w:tr>
      <w:tr w:rsidR="00831907" w:rsidRPr="008F72FD" w14:paraId="09378B75" w14:textId="77777777" w:rsidTr="008F72FD">
        <w:trPr>
          <w:trHeight w:val="250"/>
          <w:jc w:val="center"/>
        </w:trPr>
        <w:tc>
          <w:tcPr>
            <w:tcW w:w="2735" w:type="dxa"/>
            <w:tcBorders>
              <w:top w:val="single" w:sz="4" w:space="0" w:color="auto"/>
              <w:left w:val="single" w:sz="4" w:space="0" w:color="auto"/>
              <w:bottom w:val="single" w:sz="4" w:space="0" w:color="auto"/>
              <w:right w:val="single" w:sz="4" w:space="0" w:color="auto"/>
            </w:tcBorders>
            <w:vAlign w:val="center"/>
            <w:hideMark/>
          </w:tcPr>
          <w:p w14:paraId="080089A8" w14:textId="77777777" w:rsidR="00831907" w:rsidRPr="008F72FD" w:rsidRDefault="00831907" w:rsidP="008F72FD">
            <w:r w:rsidRPr="008F72FD">
              <w:t>Dates réelles</w:t>
            </w:r>
          </w:p>
        </w:tc>
        <w:tc>
          <w:tcPr>
            <w:tcW w:w="3647" w:type="dxa"/>
            <w:tcBorders>
              <w:top w:val="single" w:sz="4" w:space="0" w:color="auto"/>
              <w:left w:val="single" w:sz="4" w:space="0" w:color="auto"/>
              <w:bottom w:val="single" w:sz="4" w:space="0" w:color="auto"/>
              <w:right w:val="single" w:sz="4" w:space="0" w:color="auto"/>
            </w:tcBorders>
            <w:vAlign w:val="center"/>
          </w:tcPr>
          <w:p w14:paraId="17AD9566" w14:textId="77777777" w:rsidR="00831907" w:rsidRPr="008F72FD" w:rsidRDefault="00831907" w:rsidP="008F72FD"/>
        </w:tc>
        <w:tc>
          <w:tcPr>
            <w:tcW w:w="4102" w:type="dxa"/>
            <w:tcBorders>
              <w:top w:val="single" w:sz="4" w:space="0" w:color="auto"/>
              <w:left w:val="single" w:sz="4" w:space="0" w:color="auto"/>
              <w:bottom w:val="single" w:sz="4" w:space="0" w:color="auto"/>
              <w:right w:val="single" w:sz="4" w:space="0" w:color="auto"/>
            </w:tcBorders>
            <w:vAlign w:val="center"/>
          </w:tcPr>
          <w:p w14:paraId="794939B3" w14:textId="77777777" w:rsidR="00831907" w:rsidRPr="008F72FD" w:rsidRDefault="00831907" w:rsidP="008F72FD"/>
        </w:tc>
      </w:tr>
      <w:tr w:rsidR="00831907" w:rsidRPr="008F72FD" w14:paraId="6419D94D" w14:textId="77777777" w:rsidTr="008F72FD">
        <w:trPr>
          <w:trHeight w:val="1015"/>
          <w:jc w:val="center"/>
        </w:trPr>
        <w:tc>
          <w:tcPr>
            <w:tcW w:w="2735" w:type="dxa"/>
            <w:tcBorders>
              <w:top w:val="single" w:sz="4" w:space="0" w:color="auto"/>
              <w:left w:val="single" w:sz="4" w:space="0" w:color="auto"/>
              <w:bottom w:val="single" w:sz="4" w:space="0" w:color="auto"/>
              <w:right w:val="single" w:sz="4" w:space="0" w:color="auto"/>
            </w:tcBorders>
            <w:vAlign w:val="center"/>
            <w:hideMark/>
          </w:tcPr>
          <w:p w14:paraId="32EDABB2" w14:textId="77777777" w:rsidR="00831907" w:rsidRPr="008F72FD" w:rsidRDefault="00831907" w:rsidP="008F72FD">
            <w:r w:rsidRPr="008F72FD">
              <w:t>Quantités</w:t>
            </w:r>
          </w:p>
          <w:p w14:paraId="62E09B3C" w14:textId="77777777" w:rsidR="00831907" w:rsidRPr="008F72FD" w:rsidRDefault="00831907" w:rsidP="008F72FD">
            <w:pPr>
              <w:rPr>
                <w:i/>
              </w:rPr>
            </w:pPr>
            <w:r w:rsidRPr="008F72FD">
              <w:rPr>
                <w:i/>
              </w:rPr>
              <w:t>(</w:t>
            </w:r>
            <w:proofErr w:type="gramStart"/>
            <w:r w:rsidRPr="008F72FD">
              <w:rPr>
                <w:i/>
              </w:rPr>
              <w:t>sous</w:t>
            </w:r>
            <w:proofErr w:type="gramEnd"/>
            <w:r w:rsidRPr="008F72FD">
              <w:rPr>
                <w:i/>
              </w:rPr>
              <w:t xml:space="preserve"> réserve des stocks disponibles)</w:t>
            </w:r>
          </w:p>
        </w:tc>
        <w:tc>
          <w:tcPr>
            <w:tcW w:w="3647" w:type="dxa"/>
            <w:tcBorders>
              <w:top w:val="single" w:sz="4" w:space="0" w:color="auto"/>
              <w:left w:val="single" w:sz="4" w:space="0" w:color="auto"/>
              <w:bottom w:val="single" w:sz="4" w:space="0" w:color="auto"/>
              <w:right w:val="single" w:sz="4" w:space="0" w:color="auto"/>
            </w:tcBorders>
            <w:vAlign w:val="center"/>
            <w:hideMark/>
          </w:tcPr>
          <w:p w14:paraId="5DB04940" w14:textId="77777777" w:rsidR="00831907" w:rsidRPr="008F72FD" w:rsidRDefault="00831907" w:rsidP="008F72FD">
            <w:pPr>
              <w:tabs>
                <w:tab w:val="right" w:leader="dot" w:pos="2823"/>
              </w:tabs>
            </w:pPr>
            <w:r w:rsidRPr="008F72FD">
              <w:t>Gobelets :</w:t>
            </w:r>
            <w:r w:rsidRPr="008F72FD">
              <w:tab/>
            </w:r>
          </w:p>
          <w:p w14:paraId="4EF71123" w14:textId="77777777" w:rsidR="00831907" w:rsidRPr="008F72FD" w:rsidRDefault="00831907" w:rsidP="008F72FD">
            <w:pPr>
              <w:tabs>
                <w:tab w:val="right" w:leader="dot" w:pos="2823"/>
              </w:tabs>
            </w:pPr>
            <w:r w:rsidRPr="008F72FD">
              <w:t>Caisses :</w:t>
            </w:r>
            <w:r w:rsidR="00AE2F21" w:rsidRPr="008F72FD">
              <w:t xml:space="preserve"> </w:t>
            </w:r>
            <w:r w:rsidRPr="008F72FD">
              <w:tab/>
            </w:r>
          </w:p>
        </w:tc>
        <w:tc>
          <w:tcPr>
            <w:tcW w:w="4102" w:type="dxa"/>
            <w:tcBorders>
              <w:top w:val="single" w:sz="4" w:space="0" w:color="auto"/>
              <w:left w:val="single" w:sz="4" w:space="0" w:color="auto"/>
              <w:bottom w:val="single" w:sz="4" w:space="0" w:color="auto"/>
              <w:right w:val="single" w:sz="4" w:space="0" w:color="auto"/>
            </w:tcBorders>
            <w:vAlign w:val="center"/>
            <w:hideMark/>
          </w:tcPr>
          <w:p w14:paraId="77595356" w14:textId="77777777" w:rsidR="00831907" w:rsidRPr="008F72FD" w:rsidRDefault="00831907" w:rsidP="008F72FD">
            <w:pPr>
              <w:tabs>
                <w:tab w:val="right" w:leader="dot" w:pos="3974"/>
              </w:tabs>
            </w:pPr>
            <w:r w:rsidRPr="008F72FD">
              <w:t>Gobelets en état :</w:t>
            </w:r>
            <w:r w:rsidRPr="008F72FD">
              <w:tab/>
            </w:r>
          </w:p>
          <w:p w14:paraId="38DF1276" w14:textId="77777777" w:rsidR="00831907" w:rsidRPr="008F72FD" w:rsidRDefault="00831907" w:rsidP="008F72FD">
            <w:pPr>
              <w:tabs>
                <w:tab w:val="right" w:leader="dot" w:pos="3974"/>
              </w:tabs>
            </w:pPr>
            <w:r w:rsidRPr="008F72FD">
              <w:t>Gobelets endommagés :</w:t>
            </w:r>
            <w:r w:rsidRPr="008F72FD">
              <w:tab/>
            </w:r>
          </w:p>
          <w:p w14:paraId="60D41B65" w14:textId="77777777" w:rsidR="00831907" w:rsidRPr="008F72FD" w:rsidRDefault="00831907" w:rsidP="008F72FD">
            <w:pPr>
              <w:tabs>
                <w:tab w:val="right" w:leader="dot" w:pos="3974"/>
              </w:tabs>
            </w:pPr>
            <w:r w:rsidRPr="008F72FD">
              <w:t>Gobelets non restitués :</w:t>
            </w:r>
            <w:r w:rsidRPr="008F72FD">
              <w:tab/>
            </w:r>
          </w:p>
          <w:p w14:paraId="442BEC6D" w14:textId="77777777" w:rsidR="00831907" w:rsidRPr="008F72FD" w:rsidRDefault="00831907" w:rsidP="008F72FD">
            <w:pPr>
              <w:tabs>
                <w:tab w:val="right" w:leader="dot" w:pos="3974"/>
              </w:tabs>
            </w:pPr>
            <w:r w:rsidRPr="008F72FD">
              <w:t>Caisses :</w:t>
            </w:r>
            <w:r w:rsidRPr="008F72FD">
              <w:tab/>
            </w:r>
          </w:p>
        </w:tc>
      </w:tr>
      <w:tr w:rsidR="00831907" w:rsidRPr="008F72FD" w14:paraId="17B5EC56" w14:textId="77777777" w:rsidTr="008F72FD">
        <w:trPr>
          <w:trHeight w:val="1015"/>
          <w:jc w:val="center"/>
        </w:trPr>
        <w:tc>
          <w:tcPr>
            <w:tcW w:w="2735" w:type="dxa"/>
            <w:tcBorders>
              <w:top w:val="single" w:sz="4" w:space="0" w:color="auto"/>
              <w:left w:val="single" w:sz="4" w:space="0" w:color="auto"/>
              <w:bottom w:val="single" w:sz="4" w:space="0" w:color="auto"/>
              <w:right w:val="single" w:sz="4" w:space="0" w:color="auto"/>
            </w:tcBorders>
            <w:vAlign w:val="center"/>
            <w:hideMark/>
          </w:tcPr>
          <w:p w14:paraId="4EB258A8" w14:textId="77777777" w:rsidR="00831907" w:rsidRPr="008F72FD" w:rsidRDefault="00831907" w:rsidP="008F72FD">
            <w:r w:rsidRPr="008F72FD">
              <w:t>Caution déposée</w:t>
            </w:r>
          </w:p>
          <w:p w14:paraId="2AFFFE46" w14:textId="77777777" w:rsidR="00831907" w:rsidRPr="008F72FD" w:rsidRDefault="00831907" w:rsidP="008F72FD">
            <w:pPr>
              <w:rPr>
                <w:i/>
              </w:rPr>
            </w:pPr>
            <w:r w:rsidRPr="008F72FD">
              <w:rPr>
                <w:i/>
              </w:rPr>
              <w:t>(</w:t>
            </w:r>
            <w:proofErr w:type="gramStart"/>
            <w:r w:rsidRPr="008F72FD">
              <w:rPr>
                <w:i/>
              </w:rPr>
              <w:t>chèque</w:t>
            </w:r>
            <w:proofErr w:type="gramEnd"/>
            <w:r w:rsidRPr="008F72FD">
              <w:rPr>
                <w:i/>
              </w:rPr>
              <w:t xml:space="preserve"> à l’ordre</w:t>
            </w:r>
            <w:r w:rsidR="00F73FE7" w:rsidRPr="008F72FD">
              <w:rPr>
                <w:i/>
              </w:rPr>
              <w:t xml:space="preserve"> de la Régie des recettes</w:t>
            </w:r>
            <w:r w:rsidRPr="008F72FD">
              <w:rPr>
                <w:i/>
              </w:rPr>
              <w:t>)</w:t>
            </w:r>
          </w:p>
          <w:p w14:paraId="39CA83B8" w14:textId="77777777" w:rsidR="00831907" w:rsidRPr="008F72FD" w:rsidRDefault="00831907" w:rsidP="008F72FD">
            <w:r w:rsidRPr="008F72FD">
              <w:rPr>
                <w:i/>
              </w:rPr>
              <w:t>1,00 € / gobelet emprunté</w:t>
            </w:r>
          </w:p>
        </w:tc>
        <w:tc>
          <w:tcPr>
            <w:tcW w:w="7750" w:type="dxa"/>
            <w:gridSpan w:val="2"/>
            <w:tcBorders>
              <w:top w:val="single" w:sz="4" w:space="0" w:color="auto"/>
              <w:left w:val="single" w:sz="4" w:space="0" w:color="auto"/>
              <w:bottom w:val="single" w:sz="4" w:space="0" w:color="auto"/>
              <w:right w:val="single" w:sz="4" w:space="0" w:color="auto"/>
            </w:tcBorders>
            <w:vAlign w:val="center"/>
            <w:hideMark/>
          </w:tcPr>
          <w:p w14:paraId="292BFDD7" w14:textId="77777777" w:rsidR="00831907" w:rsidRPr="008F72FD" w:rsidRDefault="00CE528B" w:rsidP="008F72FD">
            <w:pPr>
              <w:jc w:val="right"/>
            </w:pPr>
            <w:r w:rsidRPr="008F72FD">
              <w:t xml:space="preserve"> </w:t>
            </w:r>
            <w:r w:rsidR="00831907" w:rsidRPr="008F72FD">
              <w:t>€</w:t>
            </w:r>
          </w:p>
        </w:tc>
      </w:tr>
      <w:tr w:rsidR="00831907" w:rsidRPr="008F72FD" w14:paraId="2E997F51" w14:textId="77777777" w:rsidTr="008F72FD">
        <w:trPr>
          <w:trHeight w:val="729"/>
          <w:jc w:val="center"/>
        </w:trPr>
        <w:tc>
          <w:tcPr>
            <w:tcW w:w="2735" w:type="dxa"/>
            <w:tcBorders>
              <w:top w:val="single" w:sz="4" w:space="0" w:color="auto"/>
              <w:left w:val="single" w:sz="4" w:space="0" w:color="auto"/>
              <w:bottom w:val="single" w:sz="4" w:space="0" w:color="auto"/>
              <w:right w:val="single" w:sz="4" w:space="0" w:color="auto"/>
            </w:tcBorders>
            <w:vAlign w:val="center"/>
            <w:hideMark/>
          </w:tcPr>
          <w:p w14:paraId="393860CE" w14:textId="77777777" w:rsidR="00831907" w:rsidRPr="008F72FD" w:rsidRDefault="00831907" w:rsidP="008F72FD">
            <w:r w:rsidRPr="008F72FD">
              <w:t>Montant facturé</w:t>
            </w:r>
          </w:p>
          <w:p w14:paraId="42E69634" w14:textId="77777777" w:rsidR="00831907" w:rsidRPr="008F72FD" w:rsidRDefault="00831907" w:rsidP="008F72FD">
            <w:r w:rsidRPr="008F72FD">
              <w:rPr>
                <w:i/>
              </w:rPr>
              <w:t>1,00 € / gobelet non-restitué ou endommagé</w:t>
            </w:r>
          </w:p>
        </w:tc>
        <w:tc>
          <w:tcPr>
            <w:tcW w:w="7750" w:type="dxa"/>
            <w:gridSpan w:val="2"/>
            <w:tcBorders>
              <w:top w:val="single" w:sz="4" w:space="0" w:color="auto"/>
              <w:left w:val="single" w:sz="4" w:space="0" w:color="auto"/>
              <w:bottom w:val="single" w:sz="4" w:space="0" w:color="auto"/>
              <w:right w:val="single" w:sz="4" w:space="0" w:color="auto"/>
            </w:tcBorders>
            <w:vAlign w:val="center"/>
            <w:hideMark/>
          </w:tcPr>
          <w:p w14:paraId="231D1ACA" w14:textId="77777777" w:rsidR="00831907" w:rsidRPr="008F72FD" w:rsidRDefault="00831907" w:rsidP="008F72FD">
            <w:pPr>
              <w:jc w:val="right"/>
            </w:pPr>
            <w:r w:rsidRPr="008F72FD">
              <w:t>€</w:t>
            </w:r>
          </w:p>
        </w:tc>
      </w:tr>
    </w:tbl>
    <w:p w14:paraId="51B60849" w14:textId="77777777" w:rsidR="00831907" w:rsidRPr="008F72FD" w:rsidRDefault="00831907" w:rsidP="008F72FD">
      <w:pPr>
        <w:spacing w:after="0" w:line="240" w:lineRule="auto"/>
      </w:pPr>
    </w:p>
    <w:p w14:paraId="4F68CBC2" w14:textId="77777777" w:rsidR="00831907" w:rsidRDefault="00831907" w:rsidP="008F72FD">
      <w:pPr>
        <w:spacing w:after="0" w:line="240" w:lineRule="auto"/>
      </w:pPr>
      <w:r w:rsidRPr="008F72FD">
        <w:t>Les informations contenues dans le cadre ci-dessus sont vérifiées et complétées par les services de l</w:t>
      </w:r>
      <w:r w:rsidRPr="008F72FD">
        <w:rPr>
          <w:lang w:eastAsia="fr-FR"/>
        </w:rPr>
        <w:t>’Agglomération du Pays de l’Or</w:t>
      </w:r>
      <w:r w:rsidRPr="008F72FD">
        <w:t>. Le matériel sera vérifié à son retour, l’état des gobelets étant à l’appréciation du seul représentant de l’Agglomération.</w:t>
      </w:r>
    </w:p>
    <w:p w14:paraId="768C8E2B" w14:textId="77777777" w:rsidR="008F72FD" w:rsidRPr="008F72FD" w:rsidRDefault="008F72FD" w:rsidP="008F72FD">
      <w:pPr>
        <w:spacing w:after="0" w:line="240" w:lineRule="auto"/>
        <w:rPr>
          <w:lang w:bidi="en-US"/>
        </w:rPr>
      </w:pPr>
    </w:p>
    <w:p w14:paraId="025DB942" w14:textId="77777777" w:rsidR="00831907" w:rsidRDefault="00831907" w:rsidP="008F72FD">
      <w:pPr>
        <w:spacing w:after="0" w:line="240" w:lineRule="auto"/>
      </w:pPr>
      <w:r w:rsidRPr="008F72FD">
        <w:t>Convention établie en 2 exemplaires originaux.</w:t>
      </w:r>
    </w:p>
    <w:p w14:paraId="1D81EEDB" w14:textId="77777777" w:rsidR="008F72FD" w:rsidRPr="008F72FD" w:rsidRDefault="008F72FD" w:rsidP="008F72FD">
      <w:pPr>
        <w:spacing w:after="0" w:line="240" w:lineRule="auto"/>
      </w:pPr>
    </w:p>
    <w:p w14:paraId="6098BC0B" w14:textId="77777777" w:rsidR="00831907" w:rsidRPr="008F72FD" w:rsidRDefault="00831907" w:rsidP="008F72FD">
      <w:pPr>
        <w:tabs>
          <w:tab w:val="right" w:leader="dot" w:pos="4820"/>
          <w:tab w:val="right" w:leader="dot" w:pos="9070"/>
        </w:tabs>
        <w:spacing w:after="0" w:line="240" w:lineRule="auto"/>
      </w:pPr>
      <w:r w:rsidRPr="008F72FD">
        <w:t>A</w:t>
      </w:r>
      <w:r w:rsidRPr="008F72FD">
        <w:tab/>
        <w:t xml:space="preserve">, le </w:t>
      </w:r>
      <w:r w:rsidRPr="008F72FD">
        <w:tab/>
      </w:r>
    </w:p>
    <w:p w14:paraId="5E72CC23" w14:textId="77777777" w:rsidR="00831907" w:rsidRPr="008F72FD" w:rsidRDefault="00831907" w:rsidP="008F72FD">
      <w:pPr>
        <w:spacing w:after="0" w:line="240" w:lineRule="auto"/>
        <w:jc w:val="left"/>
        <w:sectPr w:rsidR="00831907" w:rsidRPr="008F72FD" w:rsidSect="008F72FD">
          <w:headerReference w:type="first" r:id="rId8"/>
          <w:type w:val="continuous"/>
          <w:pgSz w:w="11906" w:h="16838"/>
          <w:pgMar w:top="993" w:right="1418" w:bottom="567" w:left="1418" w:header="454" w:footer="170" w:gutter="0"/>
          <w:cols w:space="720"/>
          <w:titlePg/>
          <w:docGrid w:linePitch="326"/>
        </w:sectPr>
      </w:pPr>
    </w:p>
    <w:p w14:paraId="750E38E6" w14:textId="77777777" w:rsidR="00831907" w:rsidRPr="008F72FD" w:rsidRDefault="00831907" w:rsidP="008F72FD">
      <w:pPr>
        <w:spacing w:after="0" w:line="240" w:lineRule="auto"/>
        <w:rPr>
          <w:b/>
        </w:rPr>
      </w:pPr>
      <w:r w:rsidRPr="008F72FD">
        <w:rPr>
          <w:b/>
        </w:rPr>
        <w:t>L’emprunteur</w:t>
      </w:r>
    </w:p>
    <w:p w14:paraId="3DA9B5C2" w14:textId="77777777" w:rsidR="00831907" w:rsidRPr="008F72FD" w:rsidRDefault="00831907" w:rsidP="008F72FD">
      <w:pPr>
        <w:tabs>
          <w:tab w:val="right" w:leader="dot" w:pos="4111"/>
        </w:tabs>
        <w:spacing w:after="0" w:line="240" w:lineRule="auto"/>
      </w:pPr>
      <w:r w:rsidRPr="008F72FD">
        <w:t>Nom, Prénom :</w:t>
      </w:r>
      <w:r w:rsidRPr="008F72FD">
        <w:tab/>
      </w:r>
    </w:p>
    <w:p w14:paraId="32AEA407" w14:textId="77777777" w:rsidR="00831907" w:rsidRPr="008F72FD" w:rsidRDefault="00831907" w:rsidP="008F72FD">
      <w:pPr>
        <w:spacing w:after="0" w:line="240" w:lineRule="auto"/>
        <w:rPr>
          <w:b/>
        </w:rPr>
      </w:pPr>
      <w:r w:rsidRPr="008F72FD">
        <w:t xml:space="preserve">Signature </w:t>
      </w:r>
      <w:r w:rsidRPr="008F72FD">
        <w:br w:type="column"/>
      </w:r>
      <w:r w:rsidRPr="008F72FD">
        <w:rPr>
          <w:b/>
          <w:lang w:eastAsia="fr-FR"/>
        </w:rPr>
        <w:t>L’Agglomération du Pays de l’Or</w:t>
      </w:r>
    </w:p>
    <w:p w14:paraId="70D75E22" w14:textId="77777777" w:rsidR="00831907" w:rsidRPr="008F72FD" w:rsidRDefault="00831907" w:rsidP="008F72FD">
      <w:pPr>
        <w:spacing w:after="0" w:line="240" w:lineRule="auto"/>
      </w:pPr>
      <w:r w:rsidRPr="008F72FD">
        <w:t>Le Président</w:t>
      </w:r>
    </w:p>
    <w:sectPr w:rsidR="00831907" w:rsidRPr="008F72FD" w:rsidSect="0083190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15A73" w14:textId="77777777" w:rsidR="00F03D9B" w:rsidRDefault="00F03D9B" w:rsidP="007C1DB7">
      <w:pPr>
        <w:spacing w:after="0" w:line="240" w:lineRule="auto"/>
      </w:pPr>
      <w:r>
        <w:separator/>
      </w:r>
    </w:p>
  </w:endnote>
  <w:endnote w:type="continuationSeparator" w:id="0">
    <w:p w14:paraId="3320FF05" w14:textId="77777777" w:rsidR="00F03D9B" w:rsidRDefault="00F03D9B" w:rsidP="007C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A7BF" w14:textId="77777777" w:rsidR="00141C4C" w:rsidRDefault="00141C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375D" w14:textId="77777777" w:rsidR="007C1DB7" w:rsidRDefault="007C1DB7">
    <w:pPr>
      <w:pStyle w:val="Pieddepage"/>
      <w:pBdr>
        <w:bottom w:val="single" w:sz="6" w:space="1" w:color="auto"/>
      </w:pBdr>
    </w:pPr>
  </w:p>
  <w:p w14:paraId="5326A976" w14:textId="77777777" w:rsidR="007C1DB7" w:rsidRPr="007C1DB7" w:rsidRDefault="009515EA" w:rsidP="007C1DB7">
    <w:pPr>
      <w:pStyle w:val="Pieddepage"/>
      <w:jc w:val="center"/>
      <w:rPr>
        <w:sz w:val="20"/>
        <w:szCs w:val="20"/>
      </w:rPr>
    </w:pPr>
    <w:r w:rsidRPr="007C1DB7">
      <w:rPr>
        <w:sz w:val="20"/>
        <w:szCs w:val="20"/>
      </w:rPr>
      <w:fldChar w:fldCharType="begin"/>
    </w:r>
    <w:r w:rsidR="007C1DB7" w:rsidRPr="007C1DB7">
      <w:rPr>
        <w:sz w:val="20"/>
        <w:szCs w:val="20"/>
      </w:rPr>
      <w:instrText xml:space="preserve"> PAGE   \* MERGEFORMAT </w:instrText>
    </w:r>
    <w:r w:rsidRPr="007C1DB7">
      <w:rPr>
        <w:sz w:val="20"/>
        <w:szCs w:val="20"/>
      </w:rPr>
      <w:fldChar w:fldCharType="separate"/>
    </w:r>
    <w:r w:rsidR="00F36D61">
      <w:rPr>
        <w:noProof/>
        <w:sz w:val="20"/>
        <w:szCs w:val="20"/>
      </w:rPr>
      <w:t>2</w:t>
    </w:r>
    <w:r w:rsidRPr="007C1DB7">
      <w:rPr>
        <w:sz w:val="20"/>
        <w:szCs w:val="20"/>
      </w:rPr>
      <w:fldChar w:fldCharType="end"/>
    </w:r>
    <w:r w:rsidR="007C1DB7" w:rsidRPr="007C1DB7">
      <w:rPr>
        <w:sz w:val="20"/>
        <w:szCs w:val="20"/>
      </w:rPr>
      <w:t xml:space="preserve"> / </w:t>
    </w:r>
    <w:r w:rsidR="00B06973">
      <w:fldChar w:fldCharType="begin"/>
    </w:r>
    <w:r w:rsidR="00B06973">
      <w:instrText xml:space="preserve"> NUMPAGES   \* MERGEFORMAT </w:instrText>
    </w:r>
    <w:r w:rsidR="00B06973">
      <w:fldChar w:fldCharType="separate"/>
    </w:r>
    <w:r w:rsidR="00F36D61">
      <w:rPr>
        <w:noProof/>
        <w:sz w:val="20"/>
        <w:szCs w:val="20"/>
      </w:rPr>
      <w:t>4</w:t>
    </w:r>
    <w:r w:rsidR="00B0697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30931" w14:textId="77777777" w:rsidR="00141C4C" w:rsidRDefault="00141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F73F" w14:textId="77777777" w:rsidR="00F03D9B" w:rsidRDefault="00F03D9B" w:rsidP="007C1DB7">
      <w:pPr>
        <w:spacing w:after="0" w:line="240" w:lineRule="auto"/>
      </w:pPr>
      <w:r>
        <w:separator/>
      </w:r>
    </w:p>
  </w:footnote>
  <w:footnote w:type="continuationSeparator" w:id="0">
    <w:p w14:paraId="6E45B3E7" w14:textId="77777777" w:rsidR="00F03D9B" w:rsidRDefault="00F03D9B" w:rsidP="007C1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D838" w14:textId="2D9DBA26" w:rsidR="008F72FD" w:rsidRDefault="008F72FD">
    <w:pPr>
      <w:pStyle w:val="En-tte"/>
    </w:pPr>
    <w:r>
      <w:rPr>
        <w:noProof/>
      </w:rPr>
      <w:drawing>
        <wp:anchor distT="0" distB="0" distL="114300" distR="114300" simplePos="0" relativeHeight="251671552" behindDoc="1" locked="0" layoutInCell="1" allowOverlap="1" wp14:anchorId="16FB2118" wp14:editId="7632FB1C">
          <wp:simplePos x="0" y="0"/>
          <wp:positionH relativeFrom="page">
            <wp:align>left</wp:align>
          </wp:positionH>
          <wp:positionV relativeFrom="paragraph">
            <wp:posOffset>-334010</wp:posOffset>
          </wp:positionV>
          <wp:extent cx="7589520" cy="10726652"/>
          <wp:effectExtent l="0" t="0" r="0" b="0"/>
          <wp:wrapNone/>
          <wp:docPr id="101282747" name="Image 1" descr="Une image contenant texte, capture d’écran,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2747" name="Image 1" descr="Une image contenant texte, capture d’écran, graphism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07266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B7D" w14:textId="77777777" w:rsidR="00141C4C" w:rsidRDefault="00B06973">
    <w:pPr>
      <w:pStyle w:val="En-tte"/>
    </w:pPr>
    <w:r>
      <w:rPr>
        <w:noProof/>
      </w:rPr>
      <w:pict w14:anchorId="6832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19378" o:spid="_x0000_s1027" type="#_x0000_t136" alt="" style="position:absolute;left:0;text-align:left;margin-left:0;margin-top:0;width:479.65pt;height:159.85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Arial Narrow&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19C0" w14:textId="77777777" w:rsidR="00141C4C" w:rsidRDefault="00B06973">
    <w:pPr>
      <w:pStyle w:val="En-tte"/>
    </w:pPr>
    <w:r>
      <w:rPr>
        <w:noProof/>
      </w:rPr>
      <w:pict w14:anchorId="747E7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19379" o:spid="_x0000_s1026" type="#_x0000_t136" alt="" style="position:absolute;left:0;text-align:left;margin-left:0;margin-top:0;width:479.65pt;height:159.85pt;rotation:315;z-index:-251646976;mso-wrap-edited:f;mso-width-percent:0;mso-height-percent:0;mso-position-horizontal:center;mso-position-horizontal-relative:margin;mso-position-vertical:center;mso-position-vertical-relative:margin;mso-width-percent:0;mso-height-percent:0" o:allowincell="f" fillcolor="black [3213]" stroked="f">
          <v:textpath style="font-family:&quot;Arial Narrow&quot;;font-size:1pt" string="PROJ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1D18" w14:textId="77777777" w:rsidR="00141C4C" w:rsidRDefault="00B06973">
    <w:pPr>
      <w:pStyle w:val="En-tte"/>
    </w:pPr>
    <w:r>
      <w:rPr>
        <w:noProof/>
      </w:rPr>
      <w:pict w14:anchorId="33CCB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19377" o:spid="_x0000_s1025" type="#_x0000_t136" alt="" style="position:absolute;left:0;text-align:left;margin-left:0;margin-top:0;width:479.65pt;height:159.85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Arial Narrow&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13E61"/>
    <w:multiLevelType w:val="multilevel"/>
    <w:tmpl w:val="8B12969E"/>
    <w:lvl w:ilvl="0">
      <w:start w:val="1"/>
      <w:numFmt w:val="upperRoman"/>
      <w:lvlText w:val="Article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57444FF"/>
    <w:multiLevelType w:val="hybridMultilevel"/>
    <w:tmpl w:val="6290B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D95C18"/>
    <w:multiLevelType w:val="multilevel"/>
    <w:tmpl w:val="71D43E96"/>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3" w15:restartNumberingAfterBreak="0">
    <w:nsid w:val="57691A7D"/>
    <w:multiLevelType w:val="hybridMultilevel"/>
    <w:tmpl w:val="D3120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BB452F"/>
    <w:multiLevelType w:val="hybridMultilevel"/>
    <w:tmpl w:val="D2243C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7BB4216"/>
    <w:multiLevelType w:val="hybridMultilevel"/>
    <w:tmpl w:val="35CC4A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22832F0"/>
    <w:multiLevelType w:val="hybridMultilevel"/>
    <w:tmpl w:val="CFFA2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903434"/>
    <w:multiLevelType w:val="hybridMultilevel"/>
    <w:tmpl w:val="BF4096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FA22E01"/>
    <w:multiLevelType w:val="hybridMultilevel"/>
    <w:tmpl w:val="02DE4462"/>
    <w:lvl w:ilvl="0" w:tplc="DEEA651A">
      <w:numFmt w:val="bullet"/>
      <w:lvlText w:val="-"/>
      <w:lvlJc w:val="left"/>
      <w:pPr>
        <w:ind w:left="1065" w:hanging="705"/>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2801719">
    <w:abstractNumId w:val="2"/>
  </w:num>
  <w:num w:numId="2" w16cid:durableId="1633293402">
    <w:abstractNumId w:val="0"/>
  </w:num>
  <w:num w:numId="3" w16cid:durableId="741026677">
    <w:abstractNumId w:val="3"/>
  </w:num>
  <w:num w:numId="4" w16cid:durableId="1226837708">
    <w:abstractNumId w:val="1"/>
  </w:num>
  <w:num w:numId="5" w16cid:durableId="1257401446">
    <w:abstractNumId w:val="4"/>
  </w:num>
  <w:num w:numId="6" w16cid:durableId="1419980796">
    <w:abstractNumId w:val="5"/>
  </w:num>
  <w:num w:numId="7" w16cid:durableId="77603514">
    <w:abstractNumId w:val="2"/>
  </w:num>
  <w:num w:numId="8" w16cid:durableId="1051225195">
    <w:abstractNumId w:val="6"/>
  </w:num>
  <w:num w:numId="9" w16cid:durableId="866867821">
    <w:abstractNumId w:val="8"/>
  </w:num>
  <w:num w:numId="10" w16cid:durableId="81534625">
    <w:abstractNumId w:val="2"/>
  </w:num>
  <w:num w:numId="11" w16cid:durableId="1551531875">
    <w:abstractNumId w:val="2"/>
  </w:num>
  <w:num w:numId="12" w16cid:durableId="1753506349">
    <w:abstractNumId w:val="2"/>
  </w:num>
  <w:num w:numId="13" w16cid:durableId="844051592">
    <w:abstractNumId w:val="7"/>
  </w:num>
  <w:num w:numId="14" w16cid:durableId="762454230">
    <w:abstractNumId w:val="2"/>
  </w:num>
  <w:num w:numId="15" w16cid:durableId="1415854609">
    <w:abstractNumId w:val="2"/>
  </w:num>
  <w:num w:numId="16" w16cid:durableId="770784958">
    <w:abstractNumId w:val="2"/>
  </w:num>
  <w:num w:numId="17" w16cid:durableId="164187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45"/>
    <w:rsid w:val="00082077"/>
    <w:rsid w:val="000A6D7C"/>
    <w:rsid w:val="000B5CA8"/>
    <w:rsid w:val="000D206E"/>
    <w:rsid w:val="000E6360"/>
    <w:rsid w:val="000F2636"/>
    <w:rsid w:val="000F2D1F"/>
    <w:rsid w:val="00121EE1"/>
    <w:rsid w:val="00141C4C"/>
    <w:rsid w:val="001C6823"/>
    <w:rsid w:val="001D479C"/>
    <w:rsid w:val="001F0DE8"/>
    <w:rsid w:val="00204B70"/>
    <w:rsid w:val="00206929"/>
    <w:rsid w:val="00296844"/>
    <w:rsid w:val="003069A3"/>
    <w:rsid w:val="00334B45"/>
    <w:rsid w:val="003515B2"/>
    <w:rsid w:val="00367041"/>
    <w:rsid w:val="003D06EE"/>
    <w:rsid w:val="00441093"/>
    <w:rsid w:val="0044288D"/>
    <w:rsid w:val="00466E89"/>
    <w:rsid w:val="00471FE9"/>
    <w:rsid w:val="00475638"/>
    <w:rsid w:val="004F3062"/>
    <w:rsid w:val="005364D0"/>
    <w:rsid w:val="00546494"/>
    <w:rsid w:val="00612ABA"/>
    <w:rsid w:val="006817CB"/>
    <w:rsid w:val="00694182"/>
    <w:rsid w:val="006C5E46"/>
    <w:rsid w:val="006D62A8"/>
    <w:rsid w:val="00700ABF"/>
    <w:rsid w:val="007068CF"/>
    <w:rsid w:val="00723EBF"/>
    <w:rsid w:val="00744A4B"/>
    <w:rsid w:val="0076419F"/>
    <w:rsid w:val="007965C5"/>
    <w:rsid w:val="007A0557"/>
    <w:rsid w:val="007C1DB7"/>
    <w:rsid w:val="007D1368"/>
    <w:rsid w:val="007D2A40"/>
    <w:rsid w:val="00831907"/>
    <w:rsid w:val="008337BD"/>
    <w:rsid w:val="0084369D"/>
    <w:rsid w:val="00855EAD"/>
    <w:rsid w:val="00896107"/>
    <w:rsid w:val="008A3B81"/>
    <w:rsid w:val="008D02B7"/>
    <w:rsid w:val="008F72FD"/>
    <w:rsid w:val="00947FB0"/>
    <w:rsid w:val="009515EA"/>
    <w:rsid w:val="009F435B"/>
    <w:rsid w:val="00A02EFE"/>
    <w:rsid w:val="00A76253"/>
    <w:rsid w:val="00AB3178"/>
    <w:rsid w:val="00AC420E"/>
    <w:rsid w:val="00AC6428"/>
    <w:rsid w:val="00AC7102"/>
    <w:rsid w:val="00AE2F21"/>
    <w:rsid w:val="00B06973"/>
    <w:rsid w:val="00B67D29"/>
    <w:rsid w:val="00B82AE1"/>
    <w:rsid w:val="00B9425C"/>
    <w:rsid w:val="00C017D8"/>
    <w:rsid w:val="00C03278"/>
    <w:rsid w:val="00C30EC3"/>
    <w:rsid w:val="00C71693"/>
    <w:rsid w:val="00CD7A51"/>
    <w:rsid w:val="00CE528B"/>
    <w:rsid w:val="00D01CCD"/>
    <w:rsid w:val="00D22CD8"/>
    <w:rsid w:val="00D30F68"/>
    <w:rsid w:val="00D609AC"/>
    <w:rsid w:val="00D622CC"/>
    <w:rsid w:val="00D72E02"/>
    <w:rsid w:val="00D85C1A"/>
    <w:rsid w:val="00DB3DD0"/>
    <w:rsid w:val="00DD00C2"/>
    <w:rsid w:val="00E720BC"/>
    <w:rsid w:val="00EC1638"/>
    <w:rsid w:val="00F03D9B"/>
    <w:rsid w:val="00F36D61"/>
    <w:rsid w:val="00F501FC"/>
    <w:rsid w:val="00F540C0"/>
    <w:rsid w:val="00F73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9FA7"/>
  <w15:docId w15:val="{7A851C0C-F75D-47C1-9A19-A8F39A93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45"/>
    <w:pPr>
      <w:jc w:val="both"/>
    </w:pPr>
    <w:rPr>
      <w:rFonts w:ascii="Arial Narrow" w:hAnsi="Arial Narrow"/>
      <w:sz w:val="24"/>
      <w:szCs w:val="24"/>
    </w:rPr>
  </w:style>
  <w:style w:type="paragraph" w:styleId="Titre1">
    <w:name w:val="heading 1"/>
    <w:basedOn w:val="Normal"/>
    <w:next w:val="Normal"/>
    <w:link w:val="Titre1Car"/>
    <w:uiPriority w:val="9"/>
    <w:qFormat/>
    <w:rsid w:val="00F501FC"/>
    <w:pPr>
      <w:keepNext/>
      <w:keepLines/>
      <w:numPr>
        <w:numId w:val="1"/>
      </w:numPr>
      <w:tabs>
        <w:tab w:val="left" w:pos="1701"/>
      </w:tabs>
      <w:spacing w:before="240" w:after="0"/>
      <w:outlineLvl w:val="0"/>
    </w:pPr>
    <w:rPr>
      <w:rFonts w:eastAsiaTheme="majorEastAsia" w:cstheme="majorBidi"/>
      <w:caps/>
      <w:sz w:val="28"/>
      <w:szCs w:val="28"/>
    </w:rPr>
  </w:style>
  <w:style w:type="paragraph" w:styleId="Titre2">
    <w:name w:val="heading 2"/>
    <w:basedOn w:val="Normal"/>
    <w:next w:val="Normal"/>
    <w:link w:val="Titre2Car"/>
    <w:uiPriority w:val="9"/>
    <w:unhideWhenUsed/>
    <w:qFormat/>
    <w:rsid w:val="00D01CCD"/>
    <w:pPr>
      <w:keepNext/>
      <w:keepLines/>
      <w:numPr>
        <w:ilvl w:val="1"/>
        <w:numId w:val="1"/>
      </w:numPr>
      <w:spacing w:before="40" w:after="0"/>
      <w:outlineLvl w:val="1"/>
    </w:pPr>
    <w:rPr>
      <w:rFonts w:eastAsiaTheme="majorEastAsia" w:cstheme="majorBidi"/>
      <w:sz w:val="26"/>
      <w:szCs w:val="26"/>
    </w:rPr>
  </w:style>
  <w:style w:type="paragraph" w:styleId="Titre3">
    <w:name w:val="heading 3"/>
    <w:basedOn w:val="Normal"/>
    <w:next w:val="Normal"/>
    <w:link w:val="Titre3Car"/>
    <w:uiPriority w:val="9"/>
    <w:semiHidden/>
    <w:unhideWhenUsed/>
    <w:qFormat/>
    <w:rsid w:val="00334B45"/>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334B4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34B45"/>
    <w:pPr>
      <w:keepNext/>
      <w:keepLines/>
      <w:numPr>
        <w:ilvl w:val="4"/>
        <w:numId w:val="1"/>
      </w:numPr>
      <w:tabs>
        <w:tab w:val="num" w:pos="360"/>
      </w:tabs>
      <w:spacing w:before="40" w:after="0"/>
      <w:ind w:left="0" w:firstLine="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34B4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34B4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34B4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34B4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01FC"/>
    <w:rPr>
      <w:rFonts w:ascii="Arial Narrow" w:eastAsiaTheme="majorEastAsia" w:hAnsi="Arial Narrow" w:cstheme="majorBidi"/>
      <w:caps/>
      <w:sz w:val="28"/>
      <w:szCs w:val="28"/>
    </w:rPr>
  </w:style>
  <w:style w:type="character" w:customStyle="1" w:styleId="Titre2Car">
    <w:name w:val="Titre 2 Car"/>
    <w:basedOn w:val="Policepardfaut"/>
    <w:link w:val="Titre2"/>
    <w:uiPriority w:val="9"/>
    <w:rsid w:val="00D01CCD"/>
    <w:rPr>
      <w:rFonts w:ascii="Arial Narrow" w:eastAsiaTheme="majorEastAsia" w:hAnsi="Arial Narrow" w:cstheme="majorBidi"/>
      <w:sz w:val="26"/>
      <w:szCs w:val="26"/>
    </w:rPr>
  </w:style>
  <w:style w:type="character" w:customStyle="1" w:styleId="Titre3Car">
    <w:name w:val="Titre 3 Car"/>
    <w:basedOn w:val="Policepardfaut"/>
    <w:link w:val="Titre3"/>
    <w:uiPriority w:val="9"/>
    <w:semiHidden/>
    <w:rsid w:val="00334B4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34B45"/>
    <w:rPr>
      <w:rFonts w:asciiTheme="majorHAnsi" w:eastAsiaTheme="majorEastAsia" w:hAnsiTheme="majorHAnsi" w:cstheme="majorBidi"/>
      <w:i/>
      <w:iCs/>
      <w:color w:val="2F5496" w:themeColor="accent1" w:themeShade="BF"/>
      <w:sz w:val="24"/>
      <w:szCs w:val="24"/>
    </w:rPr>
  </w:style>
  <w:style w:type="character" w:customStyle="1" w:styleId="Titre5Car">
    <w:name w:val="Titre 5 Car"/>
    <w:basedOn w:val="Policepardfaut"/>
    <w:link w:val="Titre5"/>
    <w:uiPriority w:val="9"/>
    <w:semiHidden/>
    <w:rsid w:val="00334B45"/>
    <w:rPr>
      <w:rFonts w:asciiTheme="majorHAnsi" w:eastAsiaTheme="majorEastAsia" w:hAnsiTheme="majorHAnsi" w:cstheme="majorBidi"/>
      <w:color w:val="2F5496" w:themeColor="accent1" w:themeShade="BF"/>
      <w:sz w:val="24"/>
      <w:szCs w:val="24"/>
    </w:rPr>
  </w:style>
  <w:style w:type="character" w:customStyle="1" w:styleId="Titre6Car">
    <w:name w:val="Titre 6 Car"/>
    <w:basedOn w:val="Policepardfaut"/>
    <w:link w:val="Titre6"/>
    <w:uiPriority w:val="9"/>
    <w:semiHidden/>
    <w:rsid w:val="00334B45"/>
    <w:rPr>
      <w:rFonts w:asciiTheme="majorHAnsi" w:eastAsiaTheme="majorEastAsia" w:hAnsiTheme="majorHAnsi" w:cstheme="majorBidi"/>
      <w:color w:val="1F3763" w:themeColor="accent1" w:themeShade="7F"/>
      <w:sz w:val="24"/>
      <w:szCs w:val="24"/>
    </w:rPr>
  </w:style>
  <w:style w:type="character" w:customStyle="1" w:styleId="Titre7Car">
    <w:name w:val="Titre 7 Car"/>
    <w:basedOn w:val="Policepardfaut"/>
    <w:link w:val="Titre7"/>
    <w:uiPriority w:val="9"/>
    <w:semiHidden/>
    <w:rsid w:val="00334B45"/>
    <w:rPr>
      <w:rFonts w:asciiTheme="majorHAnsi" w:eastAsiaTheme="majorEastAsia" w:hAnsiTheme="majorHAnsi" w:cstheme="majorBidi"/>
      <w:i/>
      <w:iCs/>
      <w:color w:val="1F3763" w:themeColor="accent1" w:themeShade="7F"/>
      <w:sz w:val="24"/>
      <w:szCs w:val="24"/>
    </w:rPr>
  </w:style>
  <w:style w:type="character" w:customStyle="1" w:styleId="Titre8Car">
    <w:name w:val="Titre 8 Car"/>
    <w:basedOn w:val="Policepardfaut"/>
    <w:link w:val="Titre8"/>
    <w:uiPriority w:val="9"/>
    <w:semiHidden/>
    <w:rsid w:val="00334B4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34B45"/>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334B45"/>
    <w:pPr>
      <w:ind w:left="720"/>
      <w:contextualSpacing/>
    </w:pPr>
  </w:style>
  <w:style w:type="table" w:styleId="Grilledutableau">
    <w:name w:val="Table Grid"/>
    <w:basedOn w:val="TableauNormal"/>
    <w:uiPriority w:val="59"/>
    <w:rsid w:val="0047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1DB7"/>
    <w:pPr>
      <w:tabs>
        <w:tab w:val="center" w:pos="4536"/>
        <w:tab w:val="right" w:pos="9072"/>
      </w:tabs>
      <w:spacing w:after="0" w:line="240" w:lineRule="auto"/>
    </w:pPr>
  </w:style>
  <w:style w:type="character" w:customStyle="1" w:styleId="En-tteCar">
    <w:name w:val="En-tête Car"/>
    <w:basedOn w:val="Policepardfaut"/>
    <w:link w:val="En-tte"/>
    <w:uiPriority w:val="99"/>
    <w:rsid w:val="007C1DB7"/>
    <w:rPr>
      <w:rFonts w:ascii="Arial Narrow" w:hAnsi="Arial Narrow"/>
      <w:sz w:val="24"/>
      <w:szCs w:val="24"/>
    </w:rPr>
  </w:style>
  <w:style w:type="paragraph" w:styleId="Pieddepage">
    <w:name w:val="footer"/>
    <w:basedOn w:val="Normal"/>
    <w:link w:val="PieddepageCar"/>
    <w:uiPriority w:val="99"/>
    <w:unhideWhenUsed/>
    <w:rsid w:val="007C1D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1DB7"/>
    <w:rPr>
      <w:rFonts w:ascii="Arial Narrow" w:hAnsi="Arial Narrow"/>
      <w:sz w:val="24"/>
      <w:szCs w:val="24"/>
    </w:rPr>
  </w:style>
  <w:style w:type="character" w:styleId="Marquedecommentaire">
    <w:name w:val="annotation reference"/>
    <w:basedOn w:val="Policepardfaut"/>
    <w:uiPriority w:val="99"/>
    <w:semiHidden/>
    <w:unhideWhenUsed/>
    <w:rsid w:val="00AC7102"/>
    <w:rPr>
      <w:sz w:val="16"/>
      <w:szCs w:val="16"/>
    </w:rPr>
  </w:style>
  <w:style w:type="paragraph" w:styleId="Commentaire">
    <w:name w:val="annotation text"/>
    <w:basedOn w:val="Normal"/>
    <w:link w:val="CommentaireCar"/>
    <w:uiPriority w:val="99"/>
    <w:semiHidden/>
    <w:unhideWhenUsed/>
    <w:rsid w:val="00AC7102"/>
    <w:pPr>
      <w:spacing w:line="240" w:lineRule="auto"/>
    </w:pPr>
    <w:rPr>
      <w:sz w:val="20"/>
      <w:szCs w:val="20"/>
    </w:rPr>
  </w:style>
  <w:style w:type="character" w:customStyle="1" w:styleId="CommentaireCar">
    <w:name w:val="Commentaire Car"/>
    <w:basedOn w:val="Policepardfaut"/>
    <w:link w:val="Commentaire"/>
    <w:uiPriority w:val="99"/>
    <w:semiHidden/>
    <w:rsid w:val="00AC7102"/>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AC7102"/>
    <w:rPr>
      <w:b/>
      <w:bCs/>
    </w:rPr>
  </w:style>
  <w:style w:type="character" w:customStyle="1" w:styleId="ObjetducommentaireCar">
    <w:name w:val="Objet du commentaire Car"/>
    <w:basedOn w:val="CommentaireCar"/>
    <w:link w:val="Objetducommentaire"/>
    <w:uiPriority w:val="99"/>
    <w:semiHidden/>
    <w:rsid w:val="00AC7102"/>
    <w:rPr>
      <w:rFonts w:ascii="Arial Narrow" w:hAnsi="Arial Narrow"/>
      <w:b/>
      <w:bCs/>
      <w:sz w:val="20"/>
      <w:szCs w:val="20"/>
    </w:rPr>
  </w:style>
  <w:style w:type="paragraph" w:styleId="Textedebulles">
    <w:name w:val="Balloon Text"/>
    <w:basedOn w:val="Normal"/>
    <w:link w:val="TextedebullesCar"/>
    <w:uiPriority w:val="99"/>
    <w:semiHidden/>
    <w:unhideWhenUsed/>
    <w:rsid w:val="00AC71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237">
      <w:bodyDiv w:val="1"/>
      <w:marLeft w:val="0"/>
      <w:marRight w:val="0"/>
      <w:marTop w:val="0"/>
      <w:marBottom w:val="0"/>
      <w:divBdr>
        <w:top w:val="none" w:sz="0" w:space="0" w:color="auto"/>
        <w:left w:val="none" w:sz="0" w:space="0" w:color="auto"/>
        <w:bottom w:val="none" w:sz="0" w:space="0" w:color="auto"/>
        <w:right w:val="none" w:sz="0" w:space="0" w:color="auto"/>
      </w:divBdr>
    </w:div>
    <w:div w:id="70197876">
      <w:bodyDiv w:val="1"/>
      <w:marLeft w:val="0"/>
      <w:marRight w:val="0"/>
      <w:marTop w:val="0"/>
      <w:marBottom w:val="0"/>
      <w:divBdr>
        <w:top w:val="none" w:sz="0" w:space="0" w:color="auto"/>
        <w:left w:val="none" w:sz="0" w:space="0" w:color="auto"/>
        <w:bottom w:val="none" w:sz="0" w:space="0" w:color="auto"/>
        <w:right w:val="none" w:sz="0" w:space="0" w:color="auto"/>
      </w:divBdr>
    </w:div>
    <w:div w:id="81294300">
      <w:bodyDiv w:val="1"/>
      <w:marLeft w:val="0"/>
      <w:marRight w:val="0"/>
      <w:marTop w:val="0"/>
      <w:marBottom w:val="0"/>
      <w:divBdr>
        <w:top w:val="none" w:sz="0" w:space="0" w:color="auto"/>
        <w:left w:val="none" w:sz="0" w:space="0" w:color="auto"/>
        <w:bottom w:val="none" w:sz="0" w:space="0" w:color="auto"/>
        <w:right w:val="none" w:sz="0" w:space="0" w:color="auto"/>
      </w:divBdr>
    </w:div>
    <w:div w:id="173958224">
      <w:bodyDiv w:val="1"/>
      <w:marLeft w:val="0"/>
      <w:marRight w:val="0"/>
      <w:marTop w:val="0"/>
      <w:marBottom w:val="0"/>
      <w:divBdr>
        <w:top w:val="none" w:sz="0" w:space="0" w:color="auto"/>
        <w:left w:val="none" w:sz="0" w:space="0" w:color="auto"/>
        <w:bottom w:val="none" w:sz="0" w:space="0" w:color="auto"/>
        <w:right w:val="none" w:sz="0" w:space="0" w:color="auto"/>
      </w:divBdr>
    </w:div>
    <w:div w:id="451362231">
      <w:bodyDiv w:val="1"/>
      <w:marLeft w:val="0"/>
      <w:marRight w:val="0"/>
      <w:marTop w:val="0"/>
      <w:marBottom w:val="0"/>
      <w:divBdr>
        <w:top w:val="none" w:sz="0" w:space="0" w:color="auto"/>
        <w:left w:val="none" w:sz="0" w:space="0" w:color="auto"/>
        <w:bottom w:val="none" w:sz="0" w:space="0" w:color="auto"/>
        <w:right w:val="none" w:sz="0" w:space="0" w:color="auto"/>
      </w:divBdr>
    </w:div>
    <w:div w:id="859198631">
      <w:bodyDiv w:val="1"/>
      <w:marLeft w:val="0"/>
      <w:marRight w:val="0"/>
      <w:marTop w:val="0"/>
      <w:marBottom w:val="0"/>
      <w:divBdr>
        <w:top w:val="none" w:sz="0" w:space="0" w:color="auto"/>
        <w:left w:val="none" w:sz="0" w:space="0" w:color="auto"/>
        <w:bottom w:val="none" w:sz="0" w:space="0" w:color="auto"/>
        <w:right w:val="none" w:sz="0" w:space="0" w:color="auto"/>
      </w:divBdr>
    </w:div>
    <w:div w:id="8932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A0CAB-8E04-4142-AC23-55931F1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6453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Kristelle</dc:creator>
  <cp:keywords/>
  <dc:description/>
  <cp:lastModifiedBy>Fanny Alègre</cp:lastModifiedBy>
  <cp:revision>5</cp:revision>
  <dcterms:created xsi:type="dcterms:W3CDTF">2024-09-25T09:41:00Z</dcterms:created>
  <dcterms:modified xsi:type="dcterms:W3CDTF">2024-12-10T13:13:00Z</dcterms:modified>
</cp:coreProperties>
</file>